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9C_767/2020 vom 25. Januar 2021</w:t>
      </w:r>
    </w:p>
    <w:p>
      <w:r>
        <w:t>Bundesgericht, 2021-01-25, DE</w:t>
      </w:r>
    </w:p>
    <w:p>
      <w:r>
        <w:rPr>
          <w:b/>
        </w:rPr>
        <w:t xml:space="preserve">Quelle: </w:t>
      </w:r>
      <w:r>
        <w:t>https://mcp.opencaselaw.ch/entscheid/bger_9C_767_2020</w:t>
      </w:r>
    </w:p>
    <w:p>
      <w:r>
        <w:t>FR: TF 9C_767/2020 du 25 janvier 2021</w:t>
      </w:r>
    </w:p>
    <w:p>
      <w:r>
        <w:t>IT: TF 9C_767/2020 del 25 gennaio 2021</w:t>
      </w:r>
    </w:p>
    <w:p>
      <w:pPr>
        <w:pStyle w:val="Heading2"/>
      </w:pPr>
      <w:r>
        <w:t>Volltext</w:t>
      </w:r>
    </w:p>
    <w:p>
      <w:r>
        <w:t>Bundesgericht</w:t>
      </w:r>
    </w:p>
    <w:p>
      <w:r>
        <w:t>Tribunal fédéral</w:t>
      </w:r>
    </w:p>
    <w:p>
      <w:r>
        <w:t>Tribunale federale</w:t>
      </w:r>
    </w:p>
    <w:p>
      <w:r>
        <w:t>Tribunal federal</w:t>
      </w:r>
    </w:p>
    <w:p>
      <w:r>
        <w:t>9C_767/2020</w:t>
      </w:r>
    </w:p>
    <w:p>
      <w:r>
        <w:t>Urteil vom 25. Januar 2021</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Ausgleichskasse des Kantons Bern, Chutzenstrasse 10, 3007 Bern,</w:t>
      </w:r>
    </w:p>
    <w:p>
      <w:r>
        <w:t>Beschwerdegegnerin.</w:t>
      </w:r>
    </w:p>
    <w:p>
      <w:r>
        <w:t>Gegenstand</w:t>
      </w:r>
    </w:p>
    <w:p>
      <w:r>
        <w:t>Ergänzungsleistung zur AHV/IV (Prozessvoraussetzung),</w:t>
      </w:r>
    </w:p>
    <w:p>
      <w:r>
        <w:t>Beschwerde gegen den Entscheid des Bundesverwaltungsgerichts vom 2. Dezember 2020</w:t>
      </w:r>
    </w:p>
    <w:p>
      <w:r>
        <w:t>(C-5814/2020, C-5758/2020).</w:t>
      </w:r>
    </w:p>
    <w:p>
      <w:r>
        <w:t>Nach Einsicht</w:t>
      </w:r>
    </w:p>
    <w:p>
      <w:r>
        <w:t>in die gegen den Nichteintretensentscheid des Bundesverwaltungsgerichts vom 2. Dezember 2020 gerichtete Beschwerde vom 7. Dezember 2020 (Poststempel),</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E. 1b S. 336 f. mit Hinweis; Urteil 9C_686/2016 vom 19. Oktober 2016),</w:t>
      </w:r>
    </w:p>
    <w:p>
      <w:r>
        <w:t>dass das Bundesverwaltungsgericht mit Entscheid C-4449/2020 vom 16. September 2020 auf die vom Beschwerdeführer gegen die Verfügung der Beschwerdegegnerin vom 28. August 2020 erhobene "Beschwerde" nicht eingetreten ist, da es weder in sachlicher, funktioneller noch örtlicher Hinsicht zuständig sei, und die Angelegenheit zur Weiterbehandlung als "Einsprache" an die Beschwerdegegnerin überwiesen hat,</w:t>
      </w:r>
    </w:p>
    <w:p>
      <w:r>
        <w:t>dass das Bundesgericht auf die hierauf eingereichte Beschwerde mangels rechtsgenüglicher Begründung nicht eingetreten ist, wobei es das ihm ebenfalls übermittelte, den bundesverwaltungsgerichtlichen Entscheid vom 16. September 2020 betreffende "Revisionsgesuch" des Beschwerdeführers vom 6. Oktober 2020 gleichenorts infolge Fehlens der im Gesetz vorgesehenen Revisionsgründe ( Art. 121 ff. BGG in Verbindung mit Art. 45 VwVG ) von Vornherein für unzulässig erklärt hat (Urteil 9C_597/2020 vom 27. Oktober 2020),</w:t>
      </w:r>
    </w:p>
    <w:p>
      <w:r>
        <w:t>dass das Bundesverwaltungsgericht in der Folge mit hier angefochtenem Entscheid vom 2. Dezember 2020 auf die hinsichtlich seines Entscheids vom 16. September 2020 erhobenen Revisionsgesuche des Beschwerdeführers vom 6. Oktober und 16. November 2020 sowie das Gesuch um Erlass superprovisorischer Massnahmen nicht eingetreten ist,</w:t>
      </w:r>
    </w:p>
    <w:p>
      <w:r>
        <w:t>dass der Beschwerdeführer in seiner erneuten Eingabe vor dem Bundesgericht mit keinem Wort darlegt, weshalb die Vorinstanz sich dennoch mit seinen Revisionsbegehren hätte befassen sollen respektive für den Erlass vorsorglicher Vorkehren zuständig gewesen wäre,</w:t>
      </w:r>
    </w:p>
    <w:p>
      <w:r>
        <w:t>dass die Eingabe den genannten inhaltlichen Mindestanforderungen an eine Beschwerde demnach offenkundig nicht genügt,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dem Bundesamt für Sozialversicherungen und dem Verwaltungsgericht des Kantons Bern schriftlich mitgeteilt.</w:t>
      </w:r>
    </w:p>
    <w:p>
      <w:r>
        <w:t>Luzern, 25. Januar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