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767/2009 vom 10. Februar 2010</w:t>
      </w:r>
    </w:p>
    <w:p>
      <w:r>
        <w:t>Bundesgericht, 2010-02-10, DE</w:t>
      </w:r>
    </w:p>
    <w:p>
      <w:r>
        <w:rPr>
          <w:b/>
        </w:rPr>
        <w:t xml:space="preserve">Quelle: </w:t>
      </w:r>
      <w:r>
        <w:t>https://mcp.opencaselaw.ch/entscheid/bger_9C_767_2009</w:t>
      </w:r>
    </w:p>
    <w:p>
      <w:r>
        <w:t>FR: TF 9C 767/2009 du 10 février 2010</w:t>
      </w:r>
    </w:p>
    <w:p>
      <w:r>
        <w:t>IT: TF 9C 767/2009 del 10 febbraio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Im angefochtenen Entscheid werden die Rechtsgrundlagen für die Zusprechung von Hilfsmitteln durch die Invalidenversicherung zutreffend dargelegt (Art. 8 Abs. 1 und Abs. 3 lit. d IVG in Verbindung mit Art. 21 Abs. 1 IVG ; Verordnung über die Abgabe von Hilfsmitteln durch die Invalidenversicherung vom 29. November 1976 [HVI]). Korrekt ist insbesondere, dass die Versicherten im Rahmen der vom Bundesrat respektive vom Eidgenössischen Departement des Innern aufgestellten Liste Anspruch auf jene Hilfsmittel haben, die sie für die Ausübung der Erwerbstätigkeit oder Tätigkeit im Aufgabenbereich, zur Erhaltung oder Verbesserung der Erwerbsfähigkeit, für die Schulung, die Aus- und Weiterbildung oder zum Zwecke der funktionellen Angewöhnung benötigen ( Art. 21 Abs. 1 Satz 1 IVG und Art. 14 IVV ), und gemäss Art. 2 Abs. 2 HVI Anspruch auf die mit (*) bezeichneten Hilfsmittel nur besteht, wenn diese für die Ausübung einer Erwerbstätigkeit oder die Tätigkeit im Aufgabenbereich, für die Schulung, die Ausbildung, die funktionelle Angewöhnung oder für die in der zutreffenden Ziffer des Anhangs ausdrücklich genannte Tätigkeit notwendig sind.</w:t>
      </w:r>
    </w:p>
    <w:p>
      <w:r>
        <w:rPr>
          <w:b/>
        </w:rPr>
        <w:t>E. 3</w:t>
      </w:r>
    </w:p>
    <w:p>
      <w:r>
        <w:t>Streitig und zu prüfen ist, ob die Invalidenversicherung im Rahmen von Ziff. 13.02* HVI-Anhang für den Sitzlift und die Aufstehfunktion am Elektrorollstuhl des Beschwerdegegners aufzukommen hat und insbesondere, ob der Beschwerdegegner eine Erwerbstätigkeit im Sinne von Art. 2 Abs. 2 HVI ausübt.</w:t>
      </w:r>
    </w:p>
    <w:p>
      <w:r>
        <w:rPr>
          <w:b/>
        </w:rPr>
        <w:t>E. 3.1</w:t>
      </w:r>
    </w:p>
    <w:p>
      <w:r>
        <w:t>Die Vorinstanz erwog, der Begriff der Erwerbstätigkeit im sozialversicherungsrechtlichen Sinn bedeute die Ausübung einer auf die Erzielung von Einkommen gerichteten (bestimmten) persönlichen Tätigkeit, durch welche die wirtschaftliche Leistungsfähigkeit erhöht werde. Soweit das Kreisschreiben über die Abgabe von Hilfsmitteln durch die Invalidenversicherung (KHMI; gültig ab 1. Januar 2008) in Rz. 1017 eine einschränkende Definition enthalte, wonach Erwerbstätigkeit nur anzunehmen ist, wenn die versicherte Person ohne Anrechnung allfälliger Renten aus ihrer Tätigkeit ein jährliches Einkommen erzielt, das dem Mindestbeitrag für Nichterwerbstätige gemäss Art. 10 AHVG entspricht oder höher ist, rechtfertige es sich im vorliegenden Fall, bei der Anwendung von Art. 21 Abs. 1 IVG bzw. Art. 2 Abs. 2 HVI von der restriktiven Interpretation des Begriffs Erwerbstätigkeit gemäss Kreisschreiben abzusehen. Der Beschwerdegegner übe eine auf die Erzielung von Einkommen gerichtete persönliche Tätigkeit aus, welche seine wirtschaftliche Leistungsfähigkeit erhöhe; die Leistung habe einen adäquaten Marktwert. Damit seien alle Begriffsmerkmale einer Erwerbstätigkeit erfüllt. Dass der Beschwerdegegner ein bescheidenes Einkommen erziele, vermöge an der Anspruchsberechtigung gegenüber der Invalidenversicherung nichts zu ändern. Sodann könnten auch Sachleistungen wie beispielsweise dauernde Eingliederungsmassnahmen Dauerleistungen darstellen. Die Finanzierung des Sitzliftes mit Aufstehfunktion am Elektrorollstuhl, welchen der Beschwerdegegner seit dem Jahre 1994 täglich nutzt, habe Dauerleistungscharakter. Weil der Beschwerdegegner seit Jahren unbestritten dieselbe Tätigkeit ausübe bzw. sein Pensum sogar habe steigern können und sich einzig die Entschädigungsform geändert habe, was indes unbeachtlich sei, bestehe auch unter dem Aspekt der Revisionsbestimmung von Art. 17 Abs. 2 ATSG weiterhin Anspruch auf die Übernahme der Kosten für den Sitzlift mit Aufstehfunktion.</w:t>
      </w:r>
    </w:p>
    <w:p>
      <w:r>
        <w:rPr>
          <w:b/>
        </w:rPr>
        <w:t>E. 3.2</w:t>
      </w:r>
    </w:p>
    <w:p>
      <w:r>
        <w:t>Das Beschwerde führende Bundesamt rügt sinngemäss, die vorinstanzliche Definition der Erwerbstätigkeit sei bundesrechtswidrig. Nicht jede regelmässig erbrachte Arbeitsleistung sei als Erwerbstätigkeit zu werten; ausschlaggebend sei vielmehr die konkrete wirtschaftliche Komponente. Die in Rz. 1017 KHMI übernommene AHV-rechtliche Lösung, somit eine wirtschaftliche bzw. quantitative Betrachtungsweise, sei sachlich gerechtfertigt und ermögliche eine allgemeine, rechtsgleiche Behandlung sowie eine praktikable Lösung; allenfalls könne auch auf den Zentralwert der vom Bundesamt für Statistik herausgegebenen Lohnstrukturerhebung (LSE) abgestellt werden. Die in einer Institution für (Schwer-)Behinderte geleistete Arbeit diene insbesondere der Aufrechterhaltung der Tagesstruktur sowie der Stärkung des Selbstwertgefühls der betreuten Personen; Ziel und Zweck sei nicht hauptsächlich die planmässige Verwirklichung der Erwerbsabsicht in wirtschaftlicher Hinsicht. Der Beschwerdegegner erhalte dementsprechend auch nur ein Taschengeld. Damit fehle es an einer anspruchsbegründenden Erwerbstätigkeit, so dass die Invalidenversicherung für die beantragten Hilfsmittel nicht aufzukommen habe. Schliesslich handle es sich bei Hilfsmitteln nicht um Dauerleistungen, weshalb der Aspekt der Revision unbeachtlich sei.</w:t>
      </w:r>
    </w:p>
    <w:p>
      <w:r>
        <w:rPr>
          <w:b/>
        </w:rPr>
        <w:t>E. 3.3</w:t>
      </w:r>
    </w:p>
    <w:p>
      <w:r>
        <w:t>Der Beschwerdegegner bringt vor, zunächst bestehe mit Blick auf den Umstand, dass die Invalidenversicherung nach dem Unfall die zukünftigen Sitzlift-Kosten mit Aufstehfunktion bei der Elvia regressiert habe, ein besonderes "Rechts-Anscheins-Treueverhältnis" zwischen ihm und der Invalidenversicherung, indem er die berechtigte Hoffnung haben durfte, die IV werde die in der Regressberechnung enthaltenen Leistungen auch zusprechen. Entsprechende Verfügungen habe sie in der Folge auch zwei Mal erlassen; die am 11. März 2008 erlassene Verfügung sei unfair und verstosse gegen den Grundsatz von Treu und Glauben. Sodann habe die Vorinstanz richtig erkannt, dass auch Sachleistungen Dauerleistungen sein könnten. Die Nichtübernahme der Kosten für die Sitz- und Aufstehfunktion sei unzulässig, weil sich der massgebliche Sachverhalt, insbesondere bezüglich der Erwerbstätigkeit, nicht verändert habe. Die vorinstanzliche Definition der Erwerbstätigkeit müsse geschützt werden, zumal ein "explizites Einkommen in bar" im Gesetz nicht verlangt werde. Dass er eine Erwerbstätigkeit ausübe, sei erstellt. Diese habe einen wirtschaftlichen Wert und sei nur aufgrund eines neuen Heim-Entschädigungs-Mechanismus gering. Der Wert der Arbeit sei höher als der "formelle" Verdienst, ein Teil sei quasi Naturallohn, Gewährung von Pflege/Unterkunft und Betreuung.</w:t>
      </w:r>
    </w:p>
    <w:p>
      <w:r>
        <w:rPr>
          <w:b/>
        </w:rPr>
        <w:t>E. 4</w:t>
      </w:r>
    </w:p>
    <w:p>
      <w:r>
        <w:t>Das Eidg. Versicherungsgericht hat in BGE 119 V 225 E. 5b S. 231 f. erwogen, die damalige Wegleitung über die Abgabe von Hilfsmitteln durch die Invalidenversicherung (WHMI; Rz. 1006 in der damals gültigen Fassung), welche für eine Erwerbstätigkeit voraussetzte, dass die versicherte Person ohne Anrechnung von Soziallohn und Renten aus ihrer Tätigkeit ein jährliches Einkommen erzielte, das dem Mindestbeitrag für Nichterwerbstätige gemäss Art. 10 Abs. 1 AHVG entsprach oder höher war, binde zwar das Sozialversicherungsgericht nicht. Sie lasse aber ohne weiteres eine dem Einzelfall angepasste und diesem gerecht werdende Auslegung der anwendbaren gesetzlichen Bestimmungen zu und sei daher nicht zu beanstanden. Damit knüpfte das Eidg. Versicherungsgericht an die bereits in EVGE 1968 S. 268 (Urteil I 180/68 vom 7. Oktober 1968) publizierte Rechtsprechung an, wonach ein Anspruch auf bestimmte Hilfsmittel davon abhängt, dass die versicherte Person - allenfalls nach Durchführung von Eingliederungsmassnahmen und gegebenenfalls im Rahmen einer Anstaltsbetreuung - in der Lage ist, wenigstens einen beachtlichen Teil ihres Unterhaltes selbst zu verdienen. Die Anspruchsberechtigung setzt eine in diesem Sinne "erhaltenswerte Erwerbstätigkeit" voraus. Das Eidg. Versicherungsgericht mass somit dem wirtschaftlichen Erfolg, den eine versicherte Person mit der ihr verbleibenden Leistungsfähigkeit zu realisieren vermag, entscheidende Bedeutung zu. In BGE 130 V 360 E. 3.2.1 hat das Eidg. Versicherungsgericht ebenfalls auf diese Umschreibung abgestellt und ist nur in Bezug auf den (hier nicht zur Diskussion stehenden) Aufgabenbereich davon abgewichen. An dieser Rechtsprechung ist festzuhalten (vgl. zu den hier nicht erfüllten Voraussetzungen einer Praxisänderung: BGE 131 V 107 E. 3.1 S. 110 mit Hinweisen). In deren Licht überzeugt die in Rz. 1017 KHMI vorgenommene Konkretisierung der gesetzlichen und verordnungsmässigen Leistungsvoraussetzungen, wonach eine rechtlich erhebliche Erwerbstätigkeit nur angenommen wird, wenn ein wenigstens dem Mindestbeitrag für Nichterwerbstätige gemäss Art. 10 Abs. 1 AHVG entsprechendes Einkommen erzielt wird. Es besteht keine Veranlassung, ihr generell oder im konkreten Fall die Anwendung zu versagen.</w:t>
      </w:r>
    </w:p>
    <w:p>
      <w:r>
        <w:rPr>
          <w:b/>
        </w:rPr>
        <w:t>E. 5.1</w:t>
      </w:r>
    </w:p>
    <w:p>
      <w:r>
        <w:t>Das Zentrum für Körperbehinderte Y.________ führte am 22. September 2008 aus, der Minderverdienst des Beschwerdegegners sei auf "sozialpolitische Veränderungen" zurückzuführen bzw. auf eine andere Finanzierung der Wohnplätze im Kanton Basel-Landschaft ab dem Jahre 2004. Damals sei die Leistung "Wohnen mit Tagesstruktur" eingeführt worden; geschützte Arbeitsplätze seien nicht mehr vorgesehen und somit auch keine Arbeitsverträge mit Lohnbestandteilen. Die Finanzierung erfolge via Ergänzungsleistungen. Es werde nurmehr ein von der Leistungsfähigkeit unabhängiges Taschengeld ausbezahlt und dieses nicht als Lohnbezug deklariert. Die Vorinstanz erwog, der Beschwerdegegner übe seit der Verfügung vom 8. März 2002 inhaltlich unverändert dieselbe Tätigkeit aus. Es sei ihm sogar gelungen, sein Arbeitspensum um zwei Stunden pro Woche zu steigern. Dass die ab dem Jahre 2004 ausbezahlten Entschädigungen tiefer ausfielen, habe seinen Grund nicht in einem Leistungsabbau des Beschwerdegegners oder in einer anderen Tätigkeit, sondern beruhe einzig auf einer Änderung des Heimaufenthaltsvertrages. Diese Feststellungen sind für das Bundesgericht verbindlich (E. 1 hievor). Damit steht fest, dass sich die wirtschaftliche Leistungsfähigkeit des Beschwerdegegners nicht verändert hat, wohl aber die Finanzierung bzw. das Entschädigungsmodell, indem ein Teil des vormals ausbezahlten Lohnes (Fr. 4'036.- im Jahre 2001) nunmehr als "Naturallohn" in Form reduzierter Heimkosten angerechnet wird. Mit Blick auf die für die Anspruchsberechtigung massgebliche wirtschaftliche Betrachtungsweise (E. 4 hievor) wäre allerdings eine allfällige Naturallohnkomponente ebenfalls zu berücksichtigen (vgl. Art. 5 Abs. 2 AHVG , Art. 7 lit. f sowie Art. 11 und 13 AHVV ), denn es kann allein darauf ankommen, wie hoch die arbeitsmarktgerechte Entlöhnung des Beschwerdegegners wäre. Diesbezüglich lässt sich den Akten nichts entnehmen. Die Sache ist daher an die IV-Stelle zurückzuweisen, damit sie weitere Abklärungen zum berufs- und ortsüblichen Lohn für die vom Beschwerdegegner verrichtete Arbeit (mit Einschluss allfälliger Naturalleistungen) in die Wege leitet. Sollte sich herausstellen, dass der Beschwerdegegner bis Ende 2003 einen überhöhten Lohn bezog, kann er daraus nichts zu seinen Gunsten ableiten, dass ihm die IV-Stelle auch nach Abschluss seiner Ausbildung mit Verfügung vom 21. März 2002 gestützt auf den vom Zentrum für Körperbehinderte Y.________ ausgewiesenen Lohn die strittigen Hilfsmittel zugesprochen hat.</w:t>
      </w:r>
    </w:p>
    <w:p>
      <w:r>
        <w:rPr>
          <w:b/>
        </w:rPr>
        <w:t>E. 5.2</w:t>
      </w:r>
    </w:p>
    <w:p>
      <w:r>
        <w:t>Ob die Zusprechung von Hilfsmitteln durch die Invalidenversicherung eine Dauerleistung ist, deren Anpassung grundsätzlich voraussetzt, dass sich der Sachverhalt nachträglich erheblich verändert hat ( Art. 17 Abs. 2 ATSG ; diesen Schluss legt zumindest BGE 113 V 22 E. 3b. S. 27 nahe und auch Jürg Maeschi, Kommentar zum Bundesgesetz über die Militärversicherung [MVG] vom 19. Juni 1992, 2000, S. 622 f., weist darauf hin, dass die in Art. 102 aMVG erstmals kodifizierte allgemeine Anpassungsnorm bei Eingliederungsmassnahmen gemäss Art. 33 MVG , und somit namentlich bei der Abgabe von Hilfsmitteln [vgl. Art. 34 Abs. 1 MVG ], Anwendung finde), oder ob ihr Charakter vorübergehend ist (was eine [analoge] Anwendung von Art. 17 Abs. 2 ATSG ausschlösse; vgl. bezogen auf die Taggelder in der Unfallversicherung BGE 133 V 57 E. 6.6.2 S. 64), braucht nicht abschliessend geprüft zu werden. Ergäben die Abklärungen der IV-Stelle, dass die bis Ende 2003 ausbezahlten Löhne des Beschwerdegegners nicht marktüblich waren, wäre die Verfügung vom 21. März 2002 zweifellos unrichtig und eine Wiedererwägung bereits aus diesem Grunde zulässig. Stellte sich dagegen heraus, dass die Arbeitsleistung des Beschwerdegegners tatsächlich dem bis Ende 2003 ausbezahlten Lohn entspricht und demzufolge sowohl unter dem alten wie auch unter dem neuen Finanzierungsmodell effektiv einen Marktwert erreicht, der wenigstens dem Mindestbeitrag für Nichterwerbstätige gemäss Art. 10 Abs. 1 AHVG entspricht, fehlt es schon aus diesem Grund an der rechtlichen Grundlage, um die Übernahme der beantragten Hilfsmittel zu verweigern.</w:t>
      </w:r>
    </w:p>
    <w:p>
      <w:r>
        <w:rPr>
          <w:b/>
        </w:rPr>
        <w:t>E. 5.3</w:t>
      </w:r>
    </w:p>
    <w:p>
      <w:r>
        <w:t>Nichts abzuleiten mit Bezug auf die Leistungsberechtigung gegenüber der Invalidenversicherung vermag der Beschwerdegegner aus der Regressvereinbarung zwischen der IV und der Haftpflichtversicherung der beim Unfall vom 25. Februar 1989 beteiligten Bergbahn. Der ausschliesslich zivilrechtliche Forderungen beschlagende Regress vermag keine Anspruchsberechtigung gegenüber der Sozialversicherung auszulösen (vgl. auch Urteil I 745/02 vom 23. Juli 2003 E. 3.2).</w:t>
      </w:r>
    </w:p>
    <w:p>
      <w:r>
        <w:rPr>
          <w:b/>
        </w:rPr>
        <w:t>E. 6</w:t>
      </w:r>
    </w:p>
    <w:p>
      <w:r>
        <w:t>Aufgrund der besonderen Umstände dieses Falles erscheint es als gerechtfertigt, von einer Erhebung von Gerichtskosten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