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9C_766/2010 vom 3. Februar 2011</w:t>
      </w:r>
    </w:p>
    <w:p>
      <w:r>
        <w:t>Bundesgericht, 2011-02-03, DE</w:t>
      </w:r>
    </w:p>
    <w:p>
      <w:r>
        <w:rPr>
          <w:b/>
        </w:rPr>
        <w:t xml:space="preserve">Quelle: </w:t>
      </w:r>
      <w:r>
        <w:t>https://mcp.opencaselaw.ch/entscheid/bger_9C_766_2010</w:t>
      </w:r>
    </w:p>
    <w:p>
      <w:r>
        <w:t>FR: TF 9C_766/2010 du 3 février 2011</w:t>
      </w:r>
    </w:p>
    <w:p>
      <w:r>
        <w:t>IT: TF 9C_766/2010 del 3 febbraio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t>Feststellungen der Vorinstanz hinsichtlich des Grades der Arbeitsunfähigkeit betreffen Tatfragen, soweit sie auf der Würdigung konkreter Umstände beruhen, und sind daher lediglich unter eingeschränktem Blickwinkel überprüfbar ( BGE 132 V 393 E. 3.2 S. 397 f.).</w:t>
      </w:r>
    </w:p>
    <w:p>
      <w:r>
        <w:rPr>
          <w:b/>
        </w:rPr>
        <w:t>E. 2.1</w:t>
      </w:r>
    </w:p>
    <w:p>
      <w:r>
        <w:t>Das kantonale Gericht nahm in Bestätigung der Auffassung der IV-Stelle an, dass die Beschwerdeführerin ohne gesundheitliche Beeinträchtigung zu 70 % erwerbstätig gewesen wäre. Es erachtete die von der IV-Stelle angewendeten Berechnungsgrundlagen als richtig, insbesondere das von der IV-Stelle gestützt auf den im Fragebogen Arbeitgeber angegebenen Jahresverdienst dem Einkommensvergleich zugrunde gelegte Valideneinkommen von Fr. 27'600.-. Bei der Invaliditätsbemessung ging die IV-Stelle davon aus, der Beschwerdeführerin sei seit 16. Dezember 2004 eine leichte bis mittelschwere Tätigkeit wie auch die Tätigkeit als Coiffeuse vollumfänglich zumutbar. Bei der Tätigkeit als Hausfrau und Mutter habe die Abklärung vor Ort eine Einschränkung von 14,9 % ergeben. Daraus resultiere für die Zeit ab 1. Januar 2005 ein Gesamtinvaliditätsgrad von 4 % (gewichtete Invalidität im Erwerbsbereich: 0 % [Erwerbsanteil 70 %; Einschränkung 0 %]; gewichtete Invalidität im Haushaltbereich 4,47 % [Haushaltanteil 30 %; Einschränkung 14,9%]).</w:t>
      </w:r>
    </w:p>
    <w:p>
      <w:r>
        <w:rPr>
          <w:b/>
        </w:rPr>
        <w:t>E. 2.2</w:t>
      </w:r>
    </w:p>
    <w:p>
      <w:r>
        <w:t>Gegen diese Ermittlung des Invaliditätsgrades bringt die Beschwerdeführerin mit Ausnahme der Höhe der Arbeitsunfähigkeit in der Beschwerde in tatsächlicher und rechtlicher Hinsicht nichts vor. Namentlich beanstandet sie weder das dem Einkommensvergleich zugrunde gelegte Valideneinkommen noch die Anwendung der gemischten Methode mit einem Verhältnis von 70 % zu 30 % und die gestützt auf den Abklärungsbericht ermittelte Einschränkung von 14,9 % im Haushalt. Die entsprechenden tatsächlichen Feststellungen sind daher für das Bundesgericht verbindlich ( Art. 105 Abs. 1 BGG ). Es bestehen auch keine Anhaltspunkte, dass die rechtlichen Schlussfolgerungen der Vorinstanz bundesrechtswidrig sind.</w:t>
      </w:r>
    </w:p>
    <w:p>
      <w:r>
        <w:rPr>
          <w:b/>
        </w:rPr>
        <w:t>E. 2.3</w:t>
      </w:r>
    </w:p>
    <w:p>
      <w:r>
        <w:t>In der Beschwerde wird in erster Linie beanstandet, dass das kantonale Gericht zwar auf die Diagnose des Zentrums X.________ abgestellt, in Verkennung der Rechtsprechung zur somatoformen Schmerzstörung gemäss BGE 130 V 352 aber zu Unrecht die im Gutachten des Zentrums X.________ bescheinigte Arbeitsunfähigkeit auf ihre zumutbare Überwindbarkeit geprüft habe. Vielmehr sei auf die im Gutachten des Zentrums X.________ attestierte Arbeitsunfähigkeit von 50 % abzustellen und die Frage der Überwindbarkeit nicht näher zu prüfen.</w:t>
      </w:r>
    </w:p>
    <w:p>
      <w:r>
        <w:rPr>
          <w:b/>
        </w:rPr>
        <w:t>E. 2.4</w:t>
      </w:r>
    </w:p>
    <w:p>
      <w:r>
        <w:t>Wie es sich mit diesem Einwand verhält, kann aus folgenden Gründen offen bleiben. Sowohl der Regionale Ärztliche Dienst (RAD) wie auch das kantonale Gericht halten die im Gutachten des Zentrums X.________ bescheinigte Arbeitsunfähigkeit aus psychischen Gründen für überwindbar und gehen von einer vollständigen Arbeitsfähigkeit im erwerblichen Bereich aus. Sie weichen damit von der Einschätzung des Zentrums X.________ im Gutachten vom 24. September 2009 ab. Darin werden als Diagnosen mit Einfluss auf die Arbeitsfähigkeit eine rezidivierende depressive Störung, gegenwärtig leichte Episode, mit somatischem Syndrom und Somatisierungstendenzen, eine anhaltende somatoforme Schmerzstörung und akzentuierte Persönlichkeitszüge angegeben. Im Gutachten vom 13. März 2007 schätzte das Zentrum X.________ die Arbeitsunfähigkeit in der angestammten Tätigkeit als Coiffeuse auf insgesamt 50 % (somatisch und psychisch). Die Arbeitsunfähigkeit beruhe auf der körperlichen Dekonditionierung, den Kopfschmerzen und der psychiatrischen Erkrankung. Überwiegend stehende Tätigkeiten, Zwangshaltungen, Heben und Tragen von Lasten seien der Versicherten nicht im vollen Umfang zuzumuten; dazu bestehe noch ein vermindertes Rendement aus psychiatrischen Gründen. Seit 2004 bestehe eine Arbeitsfähigkeit von 50 %. Im erwähnten Gutachten vom 24. September 2009 geht das Zentrum X.________ in der Tätigkeit als Coiffeuse von einer Einschränkung der Arbeitsfähigkeit von 30 % aus; die Einschränkung ergebe sich aus dem psychischen Leiden. Selbst wenn man mit der Beschwerdeführerin für die Beurteilung der zumutbaren Restarbeitsfähigkeit auf die frühere für sie günstigere Einschätzung des Zentrums X.________ abstellt, führt dies ebenfalls nicht zu einem rentenbegründenden Invaliditätsgrad, da sich daraus im Teilbereich der Erwerbstätigkeit lediglich ein Invaliditätsgrad von 35 % ergibt, womit die Gesamtinvalidität die rentenbegründende Erheblichkeitsschwelle von 40 % (vgl. BGE 130 V 121 E. 3.3 S. 124) nicht erreicht. Schliesslich besteht kein Anlass, am Beweiswert der Gutachten des Zentrums X.________ zu zweifeln, zumal die Beschwerde in dieser Hinsicht nicht in rechtsgenüglicher Weise allfällige Mängel darlegt.</w:t>
      </w:r>
    </w:p>
    <w:p>
      <w:r>
        <w:rPr>
          <w:b/>
        </w:rPr>
        <w:t>E. 3</w:t>
      </w:r>
    </w:p>
    <w:p>
      <w:r>
        <w:t>Die Beschwerde hatte keine Aussicht auf Erfolg, weshalb sie mit summarischer Begründung unter Verweis auf den ausführlichen kantonalen Gerichtsentscheid erledigt wird ( Art. 109 BGG ).</w:t>
      </w:r>
    </w:p>
    <w:p>
      <w:r>
        <w:rPr>
          <w:b/>
        </w:rPr>
        <w:t>E. 4</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