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9C_766/2007 vom 3. Januar 2008</w:t>
      </w:r>
    </w:p>
    <w:p>
      <w:r>
        <w:t>Bundesgericht, 2008-01-03, DE</w:t>
      </w:r>
    </w:p>
    <w:p>
      <w:r>
        <w:rPr>
          <w:b/>
        </w:rPr>
        <w:t xml:space="preserve">Quelle: </w:t>
      </w:r>
      <w:r>
        <w:t>https://mcp.opencaselaw.ch/entscheid/bger_9C_766_2007</w:t>
      </w:r>
    </w:p>
    <w:p>
      <w:r>
        <w:t>FR: TF 9C_766/2007 du 3 janvier 2008</w:t>
      </w:r>
    </w:p>
    <w:p>
      <w:r>
        <w:t>IT: TF 9C_766/2007 del 3 gennaio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dem Beschwerdeführer für das infolge Rückzug gegenstandslos gewordene vorinstanzliche Verfahren die Kosten auferlegt werden können.</w:t>
      </w:r>
    </w:p>
    <w:p>
      <w:r>
        <w:rPr>
          <w:b/>
        </w:rPr>
        <w:t>E. 3.1</w:t>
      </w:r>
    </w:p>
    <w:p>
      <w:r>
        <w:t>Abweichend von Art. 61 lit. a ATSG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 Art. 69 Abs. 1bis IVG in der seit 1. Juli 2006 geltenden Fassung).</w:t>
      </w:r>
    </w:p>
    <w:p>
      <w:r>
        <w:rPr>
          <w:b/>
        </w:rPr>
        <w:t>E. 3.2</w:t>
      </w:r>
    </w:p>
    <w:p>
      <w:r>
        <w:t>Wird ein Rechtsstreit gegenstandslos oder fällt er mangels rechtlichen Interesses dahin,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1998 UV Nr. 11 S. 33 E. 6a mit Hinweisen). Demgegenüber gilt Rückzug grundsätzlich als Unterliegen (vgl. RKUV 2001 Nr. U 411 S. 76). Diese Grundsätze gelten auch für das erstinstanzliche Gerichtsverfahren (SVR 2004 AlV Nr. 8 S. 21 E. 3.1).</w:t>
      </w:r>
    </w:p>
    <w:p>
      <w:r>
        <w:rPr>
          <w:b/>
        </w:rPr>
        <w:t>E. 4</w:t>
      </w:r>
    </w:p>
    <w:p>
      <w:r>
        <w:t>Der Beschwerdeführer hat in der IV-Anmeldung nur - aber immerhin - berufliche Massnahmen, aber keine Rente (das entsprechende Feld wurde nicht angekreuzt), beantragt. Die IV-Stelle hat mit Verfügung vom 4. Juni 2007 jedoch einzig den Rentenanspruch geprüft und diesen schliesslich verneint. Sie hat damit nicht den gestellten Antrag, sondern etwas anderes beantwortet. Dagegen hat sich der Beschwerdeführer zu Recht mit Beschwerde bei der Vorinstanz zur Wehr gesetzt. Das Beschwerdeverfahren wurde somit durch das Verhalten der Beschwerdegegnerin veranlasst. Entgegen der Verfügung des kantonalen Gerichtes vom 10. September 2007 wäre daher im Urteilsfall nicht auf die Beschwerde nicht einzutreten gewesen, sondern diese wäre - zumindest im Sinne einer Rückweisung an die Verwaltung - gutzuheissen gewesen, zumal der Anspruch auf berufliche Massnahmen bei einem von der IV-Stelle ermittelten Invaliditätsgrad von 20 % unter diesem Gesichtswinkel grundsätzlich gegeben war. Anfechtungs- und Streitgegenstand im Beschwerdeverfahren ist nicht nur das Verfügte, sondern auch das, worüber die Verwaltung hätte verfügen müssen (Urteile V. vom 20. August 2002, I 347/00 und D. vom 27. Mai 2003, I 66/03, E. 4.1 mit weiteren Verweisungen). Der Beschwerdeführer wurde durch die insoweit unzutreffenden Ausführungen der Vorinstanz in der Verfügung vom 10. September 2007 zum Rückzug der Beschwerde veranlasst. Ihrem wirklichen rechtlichen Gehalt nach hat die IV-Stelle mit Beschwerdeantwort vom 13. August 2007 materiell den Abstand erklärt, was als Unterliegen zu werten ist, auch kostenmässig. Daran ändert nichts, dass die IV-Stelle bereits mit Vorbescheid eine Abweisung des Rentenanspruchs in Aussicht gestellt und der Beschwerdeführer offenbar darauf nicht reagiert hat.</w:t>
      </w:r>
    </w:p>
    <w:p>
      <w:r>
        <w:rPr>
          <w:b/>
        </w:rPr>
        <w:t>E. 5</w:t>
      </w:r>
    </w:p>
    <w:p>
      <w:r>
        <w:t>Die Gerichtskosten sind der unterliegenden Beschwerdegegnerin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