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9C_765/2016 vom 27. Januar 2017</w:t>
      </w:r>
    </w:p>
    <w:p>
      <w:r>
        <w:t>Bundesgericht, 2017-01-27, DE</w:t>
      </w:r>
    </w:p>
    <w:p>
      <w:r>
        <w:rPr>
          <w:b/>
        </w:rPr>
        <w:t xml:space="preserve">Quelle: </w:t>
      </w:r>
      <w:r>
        <w:t>https://mcp.opencaselaw.ch/entscheid/bger_9C_765_2016</w:t>
      </w:r>
    </w:p>
    <w:p>
      <w:r>
        <w:t>FR: TF 9C_765/2016 du 27 janvier 2017</w:t>
      </w:r>
    </w:p>
    <w:p>
      <w:r>
        <w:t>IT: TF 9C_765/2016 del 27 gennaio 2017</w:t>
      </w:r>
    </w:p>
    <w:p>
      <w:pPr>
        <w:pStyle w:val="Heading2"/>
      </w:pPr>
      <w:r>
        <w:t>Erwägungen</w:t>
      </w:r>
    </w:p>
    <w:p>
      <w:r>
        <w:rPr>
          <w:b/>
        </w:rPr>
        <w:t>E. 1</w:t>
      </w:r>
    </w:p>
    <w:p>
      <w:r>
        <w:t>Das kantonale Gericht hat die Sache unter Aufhebung der Verfügung vom 23. Dezember 2013 zur Berechnung der halben Rente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3</w:t>
      </w:r>
    </w:p>
    <w:p>
      <w:r>
        <w:t>Streitig und zu prüfen ist aufgrund der Vorbringen der beschwerdeführenden IV-Stelle allein, ob die Vorinstanz im Rahmen der Invaliditätsbemessung mittels Einkommensvergleichs beim Invalideneinkommen zu Recht einen Abzug vom Tabellenlohn vorgenommen hat.</w:t>
      </w:r>
    </w:p>
    <w:p>
      <w:r>
        <w:rPr>
          <w:b/>
        </w:rPr>
        <w:t>E. 4.1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Der Abzug soll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erwerblichem Erfolg verwerten kann ( BGE 126 V 75 E. 5b/aa S. 79 f.). Er ist unter Würdigung der Umstände im Einzelfall nach pflichtgemässem Ermessen gesamthaft zu schätzen und darf 25 % nicht übersteigen ( BGE 134 V 322 E. 5.2 S. 327 f.; 126 V 75 E. 5b/bb S. 80).</w:t>
      </w:r>
    </w:p>
    <w:p>
      <w:r>
        <w:rPr>
          <w:b/>
        </w:rPr>
        <w:t>E. 4.2</w:t>
      </w:r>
    </w:p>
    <w:p>
      <w:r>
        <w:t>Die Frage, ob ein Abzug vom Tabellenlohn vorzunehmen ist, stellt eine vom Bundesgericht frei zu prüfende Rechtsfrage dar ( BGE 137 V 71 E. 5.1 S. 72).</w:t>
      </w:r>
    </w:p>
    <w:p>
      <w:r>
        <w:rPr>
          <w:b/>
        </w:rPr>
        <w:t>E. 5.1</w:t>
      </w:r>
    </w:p>
    <w:p>
      <w:r>
        <w:t>Die Vorinstanz führte zur Begründung des von ihr gewährten Abzuges von 15 % vom Tabellenlohn an, das Spektrum der zumutbaren Tätigkeiten werde durch die leidensbedingten Anforderungen erheblich eingeschränkt; es sei ein erhöhtes Absenzrisiko ausgewiesen. Ein ökonomisch denkender potentieller Arbeitgeber werde bei der Bemessung des Lohnes, den er der Versicherten ausrichten würde, dem Umstand Rechnung tragen, dass mit einem überdurchschnittlichen Mass an Krankheitsabsenzen oder kurzzeitigen Arbeitsunterbrüchen zu rechnen sei, so dass die Arbeitsleistung der Versicherten unter derjenigen einer gesunden Mitarbeiterin mit demselben Beschäftigungsgrad liegen könne. Bereits die Gefahr einer solcherart unterdurchschnittlichen Arbeitsleistung müsste bei einer rein ökonomischen Vorgehensweise als zusätzlicher Lohnaufwand qualifiziert und durch die Ausrichtung eines entsprechend unterdurchschnittlichen Lohnes kompensiert werden. Unterbleibe ein entsprechender Abzug, wäre ein Teil des Gehalts der Versicherten als Soziallohn zu qualifizieren. Die Berücksichtigung eines Soziallohnanteils würde aber den Einkommensvergleich zu Lasten der Versicherten in rechtswidriger Weise verzerren.</w:t>
      </w:r>
    </w:p>
    <w:p>
      <w:r>
        <w:rPr>
          <w:b/>
        </w:rPr>
        <w:t>E. 5.2</w:t>
      </w:r>
    </w:p>
    <w:p>
      <w:r>
        <w:t>Die IV-Stelle wendet ein, aus dem von der Vorinstanz als beweiskräftig erachteten psychiatrischen Gutachten des Dr. med. B.________, Facharzt Psychiatrie und Psychotherapie FMH, vom 28. Dezember 2011 ergäben sich keine Anhaltspunkte für ein erhöhtes Krankheitsrisiko. Die verminderte psychische Belastbarkeit sei bereits im Rahmen der Arbeitsfähigkeit berücksichtigt und stelle praxisgemäss keinen Faktor dar, der einen Abzug rechtfertige.</w:t>
      </w:r>
    </w:p>
    <w:p>
      <w:r>
        <w:rPr>
          <w:b/>
        </w:rPr>
        <w:t>E. 5.3</w:t>
      </w:r>
    </w:p>
    <w:p>
      <w:r>
        <w:t>Den Vorbringen der IV-Stelle ist vollumfänglich beizupflichten. Dr. med. B.________ erwähnte in seinem Gutachten vom 28. Dezember 2011 mit keinem Wort die Gefahr vermehrter krankheitsbedingter Absenzen und auch implizit lässt sich aus seinen Ausführungen kein erhöhtes Krankheitsrisiko herauslesen, so dass die entsprechende vorinstanzliche Feststellung jeglicher Grundlage entbehrt. Das kantonale Gericht geht offensichtlich noch immer davon aus, dass psychisch beeinträchtigte Versicherte generell ein hohes Risiko von vermehrten gesundheitlichen Absenzen hätten und dass diesem Umstand mit einem Abzug von 15 % Rechnung zu tragen sei. Die Vorinstanz wurde indessen in der Vergangenheit wiederholt - SVR 2010 IV Nr. 28 S. 87, 9C_708/2009 E. 2.3.2; Urteile 9C_437/2015 vom 30. November 2015 E. 2.4, 9C_380/2015 vom 17. November 2015 E. 3.2.1, 9C_677/2012 vom 3. Juli 2013 E. 2.2, 9C_11/2012 vom 28. Februar 2012 E. 2.2.4, 8C_283/2011 vom 26. Mai 2011 E. 4 in fine und 8C_144/2010 vom 4. August 2010 E. 5.3 - darauf hingewiesen, dass diese Rechtsauffassung unzutreffend ist. Vorab ist statistisch nicht belegt, dass Erwerbstätige mit aus gesundheitlichen Gründen eingeschränkter Arbeitsfähigkeit längere krankheitsbedingte Absenzen aufweisen als uneingeschränkt Arbeitsfähige und dass es deshalb zu Lohneinbussen kommt. Sodann wird der verminderten psychischen Belastbarkeit bereits im Rahmen der Arbeitsfähigkeitsschätzung Rechnung getragen. Ein allfälliges Risiko von vermehrten Absenzen aus gesundheitlichen Gründen gilt deshalb praxisgemäss nicht als eigenständiges Abzugskriterium.</w:t>
      </w:r>
    </w:p>
    <w:p>
      <w:r>
        <w:rPr>
          <w:b/>
        </w:rPr>
        <w:t>E. 5.4</w:t>
      </w:r>
    </w:p>
    <w:p>
      <w:r>
        <w:t>Ohne Berücksichtigung des von der IV-Stelle nach dem Gesagten zu Recht beanstandeten Abzuges vom Tabellenlohn resultiert gemäss dem angefochtenen Entscheid ein Invalideneinkommen von Fr. 31'076.-. Wird dieses dem unbestritten gebliebenen Valideneinkommen von Fr. 57'850.- gegenübergestellt, resultiert ein Invaliditätsgrad von 46 %, welcher Anspruch auf die von der IV-Stelle zugesprochene Viertelsrente verleiht ( Art. 28 Abs. 2 IVG ).</w:t>
      </w:r>
    </w:p>
    <w:p>
      <w:r>
        <w:rPr>
          <w:b/>
        </w:rPr>
        <w:t>E. 6</w:t>
      </w:r>
    </w:p>
    <w:p>
      <w:r>
        <w:t>Die Beschwerde ist offensichtlich begründet, weshalb sie im vereinfachten Verfahren nach Art. 109 BGG mit summarischer Begründung erledigt wird. Angesichts der klaren Rechtslage kann von einem weitergehenden Schriftenwechsel abgesehen werden ( Art. 102 BGG ).</w:t>
      </w:r>
    </w:p>
    <w:p>
      <w:r>
        <w:rPr>
          <w:b/>
        </w:rPr>
        <w:t>E. 7</w:t>
      </w:r>
    </w:p>
    <w:p>
      <w:r>
        <w:t>Mit dem Entscheid in der Sache wird das Gesuch um aufschiebende Wirkung der Beschwerde gegenstandslos.</w:t>
      </w:r>
    </w:p>
    <w:p>
      <w:r>
        <w:rPr>
          <w:b/>
        </w:rPr>
        <w:t>E. 8</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