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764/2007 vom 3. November 2008</w:t>
      </w:r>
    </w:p>
    <w:p>
      <w:r>
        <w:t>Bundesgericht, 2008-11-03, FR</w:t>
      </w:r>
    </w:p>
    <w:p>
      <w:r>
        <w:rPr>
          <w:b/>
        </w:rPr>
        <w:t xml:space="preserve">Quelle: </w:t>
      </w:r>
      <w:r>
        <w:t>https://mcp.opencaselaw.ch/entscheid/bger_9C_764_2007</w:t>
      </w:r>
    </w:p>
    <w:p>
      <w:r>
        <w:t>FR: TF 9C 764/2007 du 3 novembre 2008</w:t>
      </w:r>
    </w:p>
    <w:p>
      <w:r>
        <w:t>IT: TF 9C 764/2007 del 3 novembre 2008</w:t>
      </w:r>
    </w:p>
    <w:p>
      <w:pPr>
        <w:pStyle w:val="Heading2"/>
      </w:pPr>
      <w:r>
        <w:t>Regeste</w:t>
      </w:r>
    </w:p>
    <w:p>
      <w:r>
        <w:t>Assurance-invalidité | Assurance-invalidité</w:t>
      </w:r>
    </w:p>
    <w:p>
      <w:pPr>
        <w:pStyle w:val="Heading2"/>
      </w:pPr>
      <w:r>
        <w:t>Erwägungen</w:t>
      </w:r>
    </w:p>
    <w:p>
      <w:r>
        <w:rPr>
          <w:b/>
        </w:rPr>
        <w:t>E. 1</w:t>
      </w:r>
    </w:p>
    <w:p>
      <w:r>
        <w:t>Le litige porte sur le droit du recourant à une rente d'invalidité. Singulièrement, le recourant conteste le taux d'abattement qui a été retenu pour déterminer son revenu d'invalide (cf. ATF 129 V 472 consid. 4.2.3 p. 481, 126 V 75).</w:t>
      </w:r>
    </w:p>
    <w:p>
      <w:r>
        <w:rPr>
          <w:b/>
        </w:rPr>
        <w:t>E. 2</w:t>
      </w:r>
    </w:p>
    <w:p>
      <w:r>
        <w:t>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Contrairement à la situation qui prévalait jadis sous l'empire de l'OJ ( art. 104 let . c), l'étendue de l'abattement (justifié dans un cas concret), qui constitue une question typique relevant du pouvoir d'appréciation, échappe désormais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(arrêt 9C_721/2008 du 14 octobre 2008 consid. 1.3.2; arrêt 9C_382/2007 du 13 novembre 2007 consid. 4.1).</w:t>
      </w:r>
    </w:p>
    <w:p>
      <w:r>
        <w:rPr>
          <w:b/>
        </w:rPr>
        <w:t>E. 3</w:t>
      </w:r>
    </w:p>
    <w:p>
      <w:r>
        <w:t>En l'espèce, le recourant invoque notamment son âge (58 ans) et les pathologies évolutives invalidantes dont il souffre. Il se réfère à plusieurs précédents judiciaires pour affirmer qu'une réduction de 15 % du revenu statistique serait plus conforme aux critères posés par la jurisprudence, le coefficient de 10 % fixé par l'intimé lui paraissant trop faible dans son cas. Ce faisant, le recourant ne démontre pas en quoi les premiers juges auraient violé le droit fédéral ( art. 95 LTF ), par un abus ou un excès (positif ou négatif) de leur pouvoir d'appréciation. Bien davantage, par l'argumentaire qu'il développe, il s'en prend à l'opportunité de la décision qu'il conteste, ce qui ne lui est d'aucun secours (consid. 2 supra). Le recours est donc mal fondé.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