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761/2016 vom 12. Januar 2017</w:t>
      </w:r>
    </w:p>
    <w:p>
      <w:r>
        <w:t>Bundesgericht, 2017-01-12, DE</w:t>
      </w:r>
    </w:p>
    <w:p>
      <w:r>
        <w:rPr>
          <w:b/>
        </w:rPr>
        <w:t xml:space="preserve">Quelle: </w:t>
      </w:r>
      <w:r>
        <w:t>https://mcp.opencaselaw.ch/entscheid/bger_9C_761_2016</w:t>
      </w:r>
    </w:p>
    <w:p>
      <w:r>
        <w:t>FR: TF 9C 761/2016 du 12 janvier 2017</w:t>
      </w:r>
    </w:p>
    <w:p>
      <w:r>
        <w:t>IT: TF 9C 761/2016 del 12 gennaio 2017</w:t>
      </w:r>
    </w:p>
    <w:p>
      <w:pPr>
        <w:pStyle w:val="Heading2"/>
      </w:pPr>
      <w:r>
        <w:t>Regeste</w:t>
      </w:r>
    </w:p>
    <w:p>
      <w:r>
        <w:t>Invalidenversicherung | Invalidenversicherung</w:t>
      </w:r>
    </w:p>
    <w:p>
      <w:pPr>
        <w:pStyle w:val="Heading2"/>
      </w:pPr>
      <w:r>
        <w:t>Erwägungen</w:t>
      </w:r>
    </w:p>
    <w:p>
      <w:r>
        <w:rPr>
          <w:b/>
        </w:rPr>
        <w:t>E. 1.1</w:t>
      </w:r>
    </w:p>
    <w:p>
      <w:r>
        <w:t>Neue Tatsachen und Beweismittel dürfen nur so weit vorgebracht werden, als erst der Entscheid der Vorinstanz dazu Anlass gibt ( Art. 99 Abs. 1 BGG ), was in der Beschwerde näher darzulegen ist (Urteil 9C_61/2014 vom 23. Juli 2014 E. 2.3 mit Hinweisen). Tatsachen oder Beweismittel, die sich erst nach dem angefochtenen Entscheid ereignet haben oder entstanden sind (sog. echte Noven), können nicht durch dieses Erkenntnis veranlasst worden sein und sind deshalb von vornherein unzulässig ( BGE 140 V 543 E. 3.2.2.2 S. 548; MEYER/DORMANN, in: Basler Kommentar, Bundesgerichtsgesetz, 2. Aufl. 2011, N. 43 zu Art. 99 BGG ). Die von der Beschwerdeführerin nachträglich eingereichten Schreiben des Spitals B.________ vom 16. November und 8. Dezember 2016 bleiben als echte Noven im bundesgerichtlichen Verfahren unbeachtet.</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nach eingehender Beweiswürdigung und unter Berücksichtigung der Grundsätze von BGE 141 V 281 dem polydisziplinären Gutachten der MEDAS Zentralschweiz vom 2. Juli 2015 Beweiskraft beigemessen und gestützt darauf eine uneingeschränkte Arbeits- und Leistungsfähigkeit in angepassten Tätigkeiten festgestellt. Das Valideneinkommen hat es auf Fr. 61'383.-, das Invalideneinkommen auf Fr. 52'248.- festgelegt. Beim resultierenden Invaliditätsgrad von 15 % hat es einen Rentenanspruch verneint.</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Geht es um eine anhaltende somatoforme Schmerzstörung oder ein damit vergleichbares psychosomatisches Leiden (vgl. BGE 140 V 8 E. 2.2.1.3 S. 13 f.),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 BGE 141 V 281 E. 2 S. 285 ff., E. 3.4-3.6 und 4.1 S. 291 ff.). Gemäss altem Verfahrensstandard ( BGE 130 V 352 )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3.3</w:t>
      </w:r>
    </w:p>
    <w:p>
      <w:r>
        <w:t>Was die Beschwerdeführerin gegen die Beweiskraft des MEDAS-Gutachtens vorbringt, hält nicht stand: Eine abweichende Einschätzung der behandelnden Ärzte spricht nicht zwingend dagegen ( BGE 125 V 351 E. 3b/bb und cc S. 353). Weiter ist nicht ersichtlich, dass die Experten die somatischen Beschwerden sowie die Angaben der Versicherten ungenügend berücksichtigt haben sollen. Sodann ist die von den Gutachtern festgestellte "starke Verdeutlichungstendenz, eventuell Aggravation" auch ohne explizite "Grenzziehung" zwischen diesen Begriffen nachvollziehbar und zu Recht bei der Einschätzung der medizinischen Situation und der Arbeitsfähigkeit berücksichtigt worden. Schliesslich hat die Vorinstanz ausführlich und einleuchtend dargelegt, weshalb auch mit Blick auf die Indikatoren gemäss BGE 141 V 281 auf das MEDAS-Gutachten abgestellt werden kann.</w:t>
      </w:r>
    </w:p>
    <w:p>
      <w:r>
        <w:rPr>
          <w:b/>
        </w:rPr>
        <w:t>E. 3.4</w:t>
      </w:r>
    </w:p>
    <w:p>
      <w:r>
        <w:t>Nach dem Gesagten beruhen die vorinstanzliche Beweiswürdigung und Sachverhaltsfeststellung nicht auf einer Rechtsverletzung. Sie sind auch nicht offensichtlich unrichtig (E. 1.2), weshalb sie für das Bundesgericht verbindlich bleiben (E. 1.1).</w:t>
      </w:r>
    </w:p>
    <w:p>
      <w:r>
        <w:rPr>
          <w:b/>
        </w:rPr>
        <w:t>E. 3.5</w:t>
      </w:r>
    </w:p>
    <w:p>
      <w:r>
        <w:t>Da die Beschwerde offensichtlich unbegründet ist, wird sie im Verfahren nach Art. 109 Abs. 2 lit. a BGG mit summarischer Begründung und unter Hinweis auf den kantonalen Gerichtsentscheid (Abs. 3) erledigt.</w:t>
      </w:r>
    </w:p>
    <w:p>
      <w:r>
        <w:rPr>
          <w:b/>
        </w:rPr>
        <w:t>E. 4</w:t>
      </w:r>
    </w:p>
    <w:p>
      <w:r>
        <w:t>Dem Ausgang des Verfahrens entsprechend hat die Beschwerdeführerin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