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760/2014 vom 12. Januar 2015</w:t>
      </w:r>
    </w:p>
    <w:p>
      <w:r>
        <w:t>Bundesgericht, 2015-01-12, DE</w:t>
      </w:r>
    </w:p>
    <w:p>
      <w:r>
        <w:rPr>
          <w:b/>
        </w:rPr>
        <w:t xml:space="preserve">Quelle: </w:t>
      </w:r>
      <w:r>
        <w:t>https://mcp.opencaselaw.ch/entscheid/bger_9C_760_2014</w:t>
      </w:r>
    </w:p>
    <w:p>
      <w:r>
        <w:t>FR: TF 9C 760/2014 du 12 janvier 2015</w:t>
      </w:r>
    </w:p>
    <w:p>
      <w:r>
        <w:t>IT: TF 9C 760/2014 del 12 gennaio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[SR 831.201]).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f.; Urteil 9C_683/2013 vom 2. April 2014 E. 3.3.1).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8C_341/2011 vom 27. Juni 2011 E. 2.2.1).</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8C_341/2011 vom 27. Juni 2011 E. 2.2.3 mit Hinweisen).</w:t>
      </w:r>
    </w:p>
    <w:p>
      <w:r>
        <w:rPr>
          <w:b/>
        </w:rPr>
        <w:t>E. 3.1</w:t>
      </w:r>
    </w:p>
    <w:p>
      <w:r>
        <w:t>Der neu eingereichte Bericht des Dr. med. B.________ vom 13. Dezember 2014 ist - wie auch der diesem beigelegte psychologische Bericht vom 5. November 2014 und der angekündigte neuropsychologische Bericht vom 22. Januar 2015 - als (echtes) Novum von vornherein unzulässig ( Art. 99 Abs. 1 BGG ; MEYER/DORMANN, in: Basler Kommentar, Bundesgerichtsgesetz, 2. Aufl. 2011, N. 43 zu Art. 99 BGG ).</w:t>
      </w:r>
    </w:p>
    <w:p>
      <w:r>
        <w:rPr>
          <w:b/>
        </w:rPr>
        <w:t>E. 3.2</w:t>
      </w:r>
    </w:p>
    <w:p>
      <w:r>
        <w:t>Zur Untermauerung der geltend gemachten gesundheitlichen Verschlechterung liegen einzig der Austrittsbericht des Spitals C.________ (Frau Dr. med. D.________) vom 26. Dezember 2012, die Berichte des ambulant behandelnden Psychiaters Dr. med. B.________ vom 25. Februar und 2. März 2013 sowie der Bericht des Spitals C.________ (Dr. med. E.________) vom 17. Juni 2013 bei den Akten der IV-Stelle (vgl. E. 2.1).</w:t>
      </w:r>
    </w:p>
    <w:p>
      <w:r>
        <w:rPr>
          <w:b/>
        </w:rPr>
        <w:t>E. 3.3.1</w:t>
      </w:r>
    </w:p>
    <w:p>
      <w:r>
        <w:t>Die Vorinstanz hat mit Blick auf den Vergleichszeitpunkt bei Erlass der Verfügung vom 18. Januar 2011 festgestellt, in Bezug auf die Brustkrebserkrankung seien keine Beweismittel für eine (anspruchsrelevante) Verschlechterung eingereicht worden. Dr. med. B.________ habe in den neuen Berichten die gleichen Diagnosen wie bereits 2009 gestellt. Er habe ausgeführt, die psychischen Störungen wurzelten bereits in der Kindheit und behinderten die Versicherte seit Jahren. Die Ärztin des Spitals C.________ habe über rezidivierende Störungen seit 1993 berichtet und eine Medikamentenliste angegeben, die gegenüber Herbst 2010 praktisch unverändert sei. Damals sei festgestellt worden, dass durch eine Medikamentenreduzierung wahrscheinlich ein nahezu normaler Zustand erreicht werden könne. Diesbezüglich habe Dr. med. B.________ lediglich den Versuch einer Reduktion erwähnt, der an der Situation nichts zu ändern vermocht habe. Somit müsse von einer vorwiegend medikamenteninduzierten Pathologie ausgegangen werden. Dass diese Sachverhaltsfeststellungen offensichtlich unrichtig sein oder auf einer Rechtsverletzung beruhen sollen, ist nicht ersichtlich und wird auch nicht geltend gemacht. Sie bleiben daher für das Bundesgericht verbindlich (E. 1).</w:t>
      </w:r>
    </w:p>
    <w:p>
      <w:r>
        <w:rPr>
          <w:b/>
        </w:rPr>
        <w:t>E. 3.3.2</w:t>
      </w:r>
    </w:p>
    <w:p>
      <w:r>
        <w:t>Dies gilt auch für den daraus gezogenen Schluss, in casu handle es sich um einen seit Jahren unveränderten Gesundheitszustand und es seien keine neuen Elemente hinzugekommen, die geeignet wären, eine rentenbeeinflussende Verschlechterung glaubhaft zu machen. Daran ändert auch nichts, dass Dr. med. B.________ einen sozialen Rückzug festgestellt und die "Förster-Kriterien" als erfüllt betrachtet haben soll, zumal er eine vollständige und anhaltende Arbeitsunfähigkeit bereits seit Juni 2008 attestierte. Sodann schadet es nicht, dass die vorinstanzlichen Feststellungen in der Einschätzung des Regionalen ärztlichen Dienstes (RAD) eine Stütze finden. Schliesslich bleibt ohne Belang, dass stationäre Behandlungen aktenkundig sind, weil ein konkreter Hinweis auf eine damit verbundene, länger als drei Monate andauernde (vgl. Art. 88a IVV ) Einschränkung der Arbeitsfähigkeit fehlt. Etwas anderes ergibt sich auch nicht aus den weiteren Beilagen zum Bericht des Dr. med. B.________ vom 13. Dezember 2014 (Bericht des Spitals F.________ vom 12. Januar 2009, Bericht des Labors des Dr. G.________ vom 8. April 2010 [neu eingereicht; vgl. Art. 99 Abs. 1 BGG ] und zwei Abhandlungen aus der Revue Médicale Suisse).</w:t>
      </w:r>
    </w:p>
    <w:p>
      <w:r>
        <w:rPr>
          <w:b/>
        </w:rPr>
        <w:t>E. 3.4</w:t>
      </w:r>
    </w:p>
    <w:p>
      <w:r>
        <w:t>Entgegen der Auffassung der Beschwerdeführerin ist nicht ersichtlich, inwiefern das kantonale Gericht eine unzulässige materielle Beurteilung der Revisionsvoraussetzungen vorweggenommen oder überhöhte Anforderungen an den Begriff des Glaubhaftmachens gestellt haben soll. Auch in Bezug auf dieses Beweismass bedarf es eines substanziellen Anhaltspunkts für eine allfällige neue Prüfung des Leistungsanspruchs (vgl. Urteil 8C_341/2011 vom 27. Juni 2011 E. 2.2.2). Daran fehlt es hier. Die Beschwerde ist offensichtlich unbegründet ( Art. 109 Abs. 2 lit. a BGG ).</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