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760/2010 vom 17. November 2010</w:t>
      </w:r>
    </w:p>
    <w:p>
      <w:r>
        <w:t>Bundesgericht, 2010-11-17, DE</w:t>
      </w:r>
    </w:p>
    <w:p>
      <w:r>
        <w:rPr>
          <w:b/>
        </w:rPr>
        <w:t xml:space="preserve">Quelle: </w:t>
      </w:r>
      <w:r>
        <w:t>https://mcp.opencaselaw.ch/entscheid/bger_9C_760_2010</w:t>
      </w:r>
    </w:p>
    <w:p>
      <w:r>
        <w:t>FR: TF 9C 760/2010 du 17 novembre 2010</w:t>
      </w:r>
    </w:p>
    <w:p>
      <w:r>
        <w:t>IT: TF 9C 760/2010 del 17 novembre 2010</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Nach Art. 53 Abs. 2 ATSG kann der Versicherungsträger auf formell rechtskräftige Verfügungen oder Einspracheentscheide zurückkommen, wenn diese zweifellos unrichtig sind und wenn ihre Berichtigung von erheblicher Bedeutung ist. Unter diesen Voraussetzungen kann die Verwaltung eine Rentenverfügung auch dann abändern, wenn die Revisionsvoraussetzungen des Art. 17 ATSG nicht erfüllt sind. Wird die zweifellose Unrichtigkeit der ursprünglichen Rentenverfügung erst vom Gericht festgestellt, kann es die auf Art. 17 ATSG gestützte Revisionsverfügung mit dieser substituierten Begründung schützen (vgl. BGE 127 V 466 E. 2c S. 469, 125 V 368 E. 2 S. 369). Das Erfordernis der zweifellosen Unrichtigkeit ist in der Regel erfüllt, wenn eine Leistungszusprache aufgrund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darboten, als vertretbar, scheidet die Annahme zweifelloser Unrichtigkeit aus. Zweifellos ist die Unrichtigkeit, wenn kein vernünftiger Zweifel daran möglich ist, dass die Verfügung unrichtig war. Es ist nur ein einziger Schluss - derjenige auf die Unrichtigkeit der Verfügung - denkbar (SVR 2010 IV Nr. 5 S. 10, 8C_1012/2008; Urteil 9C_575/2007 vom 18. Oktober 2007 mit Hinweisen). Entgegen den Ausführungen der Vorinstanz wurden mit dem Urteil 9C_272/2009 vom 16. September 2009 (SVR 2010 IV Nr. 19 S. 58) die Anforderungen an die Wiedererwägung nicht gelockert. Das Bundesgericht hielt in E. 5.3 lediglich fest, dass es sich erübrige, nachträglich die Arbeitsunfähigkeit im Zeitpunkt der ursprünglichen Rentenzusprechung zuverlässig zu ermitteln, dies jedoch vor dem Hintergrund, dass die ursprüngliche Rentengewährung im Ergebnis zweifellos unrichtig war (E. 5.2).</w:t>
      </w:r>
    </w:p>
    <w:p>
      <w:r>
        <w:rPr>
          <w:b/>
        </w:rPr>
        <w:t>E. 3.1</w:t>
      </w:r>
    </w:p>
    <w:p>
      <w:r>
        <w:t>Im Entscheid vom 27. Mai 2008 hielt die Vorinstanz fest, aufgrund der zur Verfügung stehenden Unterlagen lasse sich eine revisionsweise Aufhebung der laufenden halben Invalidenrente nicht begründen. Ebenso wenig nachzuweisen sei die zweifellose Unrichtigkeit der ursprünglichen Rentenverfügung, weshalb zusätzliche Abklärungen Aufschluss über die medizinische Situation und deren Entwicklung zu geben hätten. Gestützt auf die Ergebnisse der psychiatrischen Untersuchung werde die IV-Stelle über eine Revision oder Wiedererwägung der Rentenverfügung neu befinden. Nachdem die Verwaltung zum Schluss gelangt war, die Rentenzusprechung sei offensichtlich unrichtig gewesen, zog sie die ursprüngliche Verfügung in Wiedererwägung und hob die laufende Rente auf. Das Versicherungsgericht bestätigte im angefochtenen Entscheid vom 23. Juli 2010, dass die Voraussetzungen für eine Wiedererwägung erfüllt seien.</w:t>
      </w:r>
    </w:p>
    <w:p>
      <w:r>
        <w:rPr>
          <w:b/>
        </w:rPr>
        <w:t>E. 3.2</w:t>
      </w:r>
    </w:p>
    <w:p>
      <w:r>
        <w:t>Der Beschwerdeführer bestreitet das Vorliegen der Wiedererwägungsvoraussetzungen. Er macht geltend, die vorinstanzliche Beurteilung, wonach die ursprüngliche Leistungszusprechung praktisch allein auf der Diagnose einer somatoformen Schmerzstörung beruht habe, eine gutachterliche Prüfung und rechtskonforme Würdigung derselben jedoch unterblieben und deswegen ein offensichtlich unrichtiger Entscheid gefällt worden sei, erscheine unzutreffend. Weil sodann BGE 130 V 352 betreffend die Änderung der Rechtsprechung bei somatoformen Schmerzstörungen bei Erlass des Einspracheentscheides noch nicht publiziert war, könne die damalige Leistungszusprechung nicht nachträglich als offensichtlich unrichtig bezeichnet werden. Des Weiteren sei zu prüfen, ob aufgrund des vorinstanzlichen Entscheides vom 27. Mai 2008 bezüglich der Wiedererwägung nicht von einer res iudicata hätte ausgegangen werden müssen. Zu guter Letzt rügt der Beschwerdeführer, die Vorinstanz habe seinen Anspruch auf rechtliches Gehör verletzt. Das entscheidende Gutachten des Dr. med. S.________ vom 12. September 2008, in welchem für die bisherige Tätigkeit eine volle Arbeitsfähigkeit bescheinigt wurde, sei gleichzeitig mit der Gewährung des rechtlichen Gehörs in Auftrag gegeben worden, was unzulässig sei; denn der Versicherte sei rechtzeitig über die Person des in Aussicht genommenen Sachverständigen zu orientieren.</w:t>
      </w:r>
    </w:p>
    <w:p>
      <w:r>
        <w:rPr>
          <w:b/>
        </w:rPr>
        <w:t>E. 4</w:t>
      </w:r>
    </w:p>
    <w:p>
      <w:r>
        <w:t>Der von der IV-Stelle mit der Begutachtung des Versicherten betraute Psychiater Dr. med. K.________ diagnostizierte in der Expertise vom 30. Juli 2004, welche dem Einspracheentscheid vom 12. August 2004 zugrunde lag, nebst einer anhaltenden somatoformen Schmerzstörung Angst und depressive Störung gemischt (gemischte ängstlich-depressive Störung). Diese Diagnose, nach ausdrücklicher Auseinandersetzung mit der abweichenden Auffassung des PD Dr. med. E.________ gestellt, kann durchaus als Komorbidität im Sinne von BGE 130 V 352 E. 2.2.3 S. 353 f. betrachtet werden. Der allfällige Wiedererwägungsgrund liegt damit im Bereich materieller Anspruchsvoraussetzungen, deren Beurteilung Ermessenszüge aufweist (E. 2 hievor). Wenn die IV-Stelle im Einspracheentscheid das Gutachten des Dr. med. K.________ im Einklang mit der Einschätzung ihres medizinischen Dienstes als beweiskräftig qualifiziert und dem Beschwerdeführer gestützt darauf eine halbe Invalidenrente zugesprochen hat, ist dies mit Blick auf die damals geltende Rechtslage vertretbar, womit die Annahme zweifelloser Unrichtigkeit ausscheidet. Die Beschwerde ist begründet.</w:t>
      </w:r>
    </w:p>
    <w:p>
      <w:r>
        <w:rPr>
          <w:b/>
        </w:rPr>
        <w:t>E. 5</w:t>
      </w:r>
    </w:p>
    <w:p>
      <w:r>
        <w:t>Dem Verfahrensausgang entsprechend sind die Gerichtskosten der unterliegenden IV-Stelle aufzuerlegen ( Art. 66 Abs. 1 BGG ). Diese hat dem Beschwerdeführer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