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758/2019 vom 4. Februar 2020</w:t>
      </w:r>
    </w:p>
    <w:p>
      <w:r>
        <w:t>Bundesgericht, 2020-02-04, FR</w:t>
      </w:r>
    </w:p>
    <w:p>
      <w:r>
        <w:rPr>
          <w:b/>
        </w:rPr>
        <w:t xml:space="preserve">Quelle: </w:t>
      </w:r>
      <w:r>
        <w:t>https://mcp.opencaselaw.ch/entscheid/bger_9C_758_2019</w:t>
      </w:r>
    </w:p>
    <w:p>
      <w:r>
        <w:t>FR: TF 9C 758/2019 du 4 février 2020</w:t>
      </w:r>
    </w:p>
    <w:p>
      <w:r>
        <w:t>IT: TF 9C 758/2019 del 4 febbraio 2020</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Compte tenu des conclusions et motifs du recours, est seul litigieux le point de savoir si la juridiction cantonale était en droit de mettre les frais des expertises judiciaires des docteurs F.________ et G.________ (montant total de 9339 fr. 95) à la charge de l'office AI et de le condamner à verser à l'assurée la somme de 2500 fr. à titre de dépens.</w:t>
      </w:r>
    </w:p>
    <w:p>
      <w:r>
        <w:rPr>
          <w:b/>
        </w:rPr>
        <w:t>E. 3.1</w:t>
      </w:r>
    </w:p>
    <w:p>
      <w:r>
        <w:t>Par un premier grief, l'office recourant soutient que la cour cantonale a violé la jurisprudence relative aux art. 45 et 61 let. a LPGA en mettant à sa charge les frais des expertises judiciaires en cause.</w:t>
      </w:r>
    </w:p>
    <w:p>
      <w:r>
        <w:rPr>
          <w:b/>
        </w:rPr>
        <w:t>E. 3.2</w:t>
      </w:r>
    </w:p>
    <w:p>
      <w:r>
        <w:t>Conformément à la jurisprudence du Tribunal fédéral en matière d'assurance-invalidité (cf. ATF 139 V 496 consid. 4.3 p. 501 s.; 139 V 349 consid. 5.4 p. 357), les frais qui découlent de la mise en oeuvre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 ATF 137 V 210 ), elle intervient dans les faits en lieu et place de l'autorité administrative qui aurait dû, en principe, mettre en oeuvre cette mesure d'instruction dans le cadre de la procédure administrative. Dans ces conditions, les frais de l'expertise ne constituent pas des frais de justice au sens de l' art. 69 al. 1 bis LAI , mais des frais relatifs à la procédure administrative au sens de l' 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p. 265 s.; sur l'ensemble de la question, cf. aussi ERIK FURRER, Rechtliche und praktische Aspekte auf dem Weg zum Gerichtsgutachten in der Invalidenversicherung, RSAS 2019, p. 14).</w:t>
      </w:r>
    </w:p>
    <w:p>
      <w:r>
        <w:rPr>
          <w:b/>
        </w:rPr>
        <w:t>E. 3.3</w:t>
      </w:r>
    </w:p>
    <w:p>
      <w:r>
        <w:t>Le motif retenu par la juridiction cantonale pour mettre les frais d'expertise en question à la charge de l'office recourant ne met pas en évidence un lien entre des défauts de l'instruction administrative et la nécessité de mandater les docteurs F.________ et G.________. Elle a considéré qu'il s'était avéré indispensable d'ordonner une expertise rhumatologique et psychiatrique pour mener à bien l'instruction complémentaire ordonnée par le Tribunal fédéral dans son arrêt 9C_80/2013 du 18 septembre 2013. Or le Tribunal fédéral avait alors retenu qu'en ce qu'elle avait ignoré l'expertise de la doctoresse B.________ et s'était fondée sur une expertise judiciaire à laquelle il avait dénié toute valeur probante, l'instance cantonale avait rendu son jugement du 29 novembre 2012 au terme d'une appréciation incomplète des faits; aussi, le Tribunal fédéral avait-t-il renvoyé la cause aux premiers juges pour qu'ils en complètent l'instruction et rendent un nouveau jugement (arrêt 9C_80/2013 précité consid. 3.3 à 3.5). On ne saurait déduire de ces considérations que l'instruction complémentaire au niveau judiciaire était nécessitée par des lacunes ou des insuffisances caractérisées de la procédure administrative. Dans ces conditions, c'est en violation du droit fédéral que la juridiction cantonale a mis à la charge de l'office recourant les frais des expertises judiciaires qu'elle a ordonnées à la suite de l'arrêt de renvoi du Tribunal fédéral de 2013. Le recours est bien fondé sur ce point.</w:t>
      </w:r>
    </w:p>
    <w:p>
      <w:r>
        <w:rPr>
          <w:b/>
        </w:rPr>
        <w:t>E. 4.1</w:t>
      </w:r>
    </w:p>
    <w:p>
      <w:r>
        <w:t>L'office recourant reproche ensuite à la juridiction cantonale d'avoir violé l' art. 61 let . g LPGA en le condamnant à verser à l'assurée une indemnité de dépens de 2500 fr. Il fait valoir que le litige découlant de la décision litigieuse du 18 juin 2009 ne portait que sur le droit de l'assurée à des prestations sur la base de l'état de fait existant à cette date, l'assurée concluant d'ailleurs, dans son mémoire de recours du 21 août 2009, à la reconnaissance du droit à une rente entière d'invalidité dès le 1er septembre 2005. C'est alors l'extension de l'objet du litige, par les premiers juges, qui les avait amenés à reconnaître le droit de l'intimée à une demi-rente à compter de juillet 2011. Partant, ce serait à tort qu'ils auraient considéré que l'assurée avait obtenu gain de cause.</w:t>
      </w:r>
    </w:p>
    <w:p>
      <w:r>
        <w:rPr>
          <w:b/>
        </w:rPr>
        <w:t>E. 4.2</w:t>
      </w:r>
    </w:p>
    <w:p>
      <w:r>
        <w:t>Le droit aux dépens dans la procédure devant le tribunal cantonal des assurances est réglé par l' art. 61 let . g LPGA. En vertu de cette disposition légale,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135 V 473 consid. 3.2 p. 478; 129 V 113 consid. 2.2 p. 115 et les arrêts cités).</w:t>
      </w:r>
    </w:p>
    <w:p>
      <w:r>
        <w:rPr>
          <w:b/>
        </w:rPr>
        <w:t>E. 4.3</w:t>
      </w:r>
    </w:p>
    <w:p>
      <w:r>
        <w:t>Saisie d'un recours contre la décision administrative du 18 juin 2009, la juridiction cantonale a étendu la contestation sur le droit de l'assurée à une rente de l'assurance-invalidité au-delà de cette date, ce que le recourant ne conteste pas (sur les conditions d'une extension de l'objet de la contestation, ATF 131 V 164 ; 125 V 413 ). Elle est arrivée à la conclusion que l'assurée avait droit à une demi-rente à compter du 1 er juillet 2011. Ce faisant, elle a implicitement nié une prestation de rente avant cette date, confirmant par là la décision de refus du 18 juin 2009. Les conclusions initiales de l'assurée tendant à l'octroi d'une rente entière d'invalidité dès le 1er septembre 2005 ont donc été rejetées. En revanche, les conclusions de l'assurée formulées en fonction du résultat de l'expertise du docteur G.________ - droit à une demi-rente depuis le 1er juillet 2011 -, auxquelles s'est rallié l'office AI, ont été admises. Dans ces circonstances, la juridiction cantonale n'avait pas à annuler la décision du 18 juin 2009, comme le soutient à juste titre l'office AI; le jugement cantonal doit être réformé sur ce point. Cela étant, l'assurée a obtenu partiellement gain de cause sur l'ensemble de la procédure cantonale puisqu'elle s'est vu reconnaître le droit à une rente qui lui avait été initialement refusée. Elle pouvait ainsi prétendre au remboursement partiel de ses frais et dépens. La condamnation de l'office AI à prendre ceux-ci en charge ne contrevient donc pas à l' art. 61 let . g LPGA. Le grief y relatif, qui ne porte pas sur le montant fixé non contesté par le recourant, est mal fondé.</w:t>
      </w:r>
    </w:p>
    <w:p>
      <w:r>
        <w:rPr>
          <w:b/>
        </w:rPr>
        <w:t>E. 5</w:t>
      </w:r>
    </w:p>
    <w:p>
      <w:r>
        <w:t>Ensuite de ce qui précède, le recours est partiellement admis. Le chiffre 2 du dispositif du jugement entrepris doit être réformé en ce sens que le recours est partiellement admis et la décision de l'office AI du 18 juin 2009 confirmée. Le chiffre 6 doit par ailleurs être annulé.</w:t>
      </w:r>
    </w:p>
    <w:p>
      <w:r>
        <w:rPr>
          <w:b/>
        </w:rPr>
        <w:t>E. 6</w:t>
      </w:r>
    </w:p>
    <w:p>
      <w:r>
        <w:t>Le présent arrêt rend sans objet la demande d'effet suspensif.</w:t>
      </w:r>
    </w:p>
    <w:p>
      <w:r>
        <w:rPr>
          <w:b/>
        </w:rPr>
        <w:t>E. 7</w:t>
      </w:r>
    </w:p>
    <w:p>
      <w:r>
        <w:t>Compte tenu de l'issue du litige, les frais de justice doivent être mis à la charge du recourant pour moitié et à la charge de l'intimée pour moitié ( art. 66 al. 1 LTF ). Le recourant supportera également l'indemnité réduite de dépens à laquelle a droit l'intimée ( art. 68 al. 1 LTF ). L'issue du litige n'a en revanche pas d'incidence sur la répartition des frais de première instance (cf. art. 67 LTF ), que le recourant n'a au demeurant pas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