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9C_758/2014 vom 26. November 2014</w:t>
      </w:r>
    </w:p>
    <w:p>
      <w:r>
        <w:t>Bundesgericht, 2014-11-26, DE</w:t>
      </w:r>
    </w:p>
    <w:p>
      <w:r>
        <w:rPr>
          <w:b/>
        </w:rPr>
        <w:t xml:space="preserve">Quelle: </w:t>
      </w:r>
      <w:r>
        <w:t>https://mcp.opencaselaw.ch/entscheid/bger_9C_758_2014</w:t>
      </w:r>
    </w:p>
    <w:p>
      <w:r>
        <w:t>FR: TF 9C_758/2014 du 26 novembre 2014</w:t>
      </w:r>
    </w:p>
    <w:p>
      <w:r>
        <w:t>IT: TF 9C_758/2014 del 26 novembre 2014</w:t>
      </w:r>
    </w:p>
    <w:p>
      <w:pPr>
        <w:pStyle w:val="Heading2"/>
      </w:pPr>
      <w:r>
        <w:t>Erwägungen</w:t>
      </w:r>
    </w:p>
    <w:p>
      <w:r>
        <w:rPr>
          <w:b/>
        </w:rPr>
        <w:t>E. 1</w:t>
      </w:r>
    </w:p>
    <w:p>
      <w:r>
        <w:t>Prozessthema ist, ob die Vorinstanz zu Recht nicht auf die Eingabe der Beschwerdeführerin vom 7. Februar 2014 gegen die rentenaufhebende Verfügung vom 19. Juli 2013 eingetreten ist ( BGE 117 V 121 E. 1 S. 122; 116 V 265 E. 2a S. 266).</w:t>
      </w:r>
    </w:p>
    <w:p>
      <w:r>
        <w:rPr>
          <w:b/>
        </w:rPr>
        <w:t>E. 2</w:t>
      </w:r>
    </w:p>
    <w:p>
      <w:r>
        <w:t>Es steht fest und ist unbestritten, dass die Beschwerdeführerin mit Schreiben vom 12. August 2013 der IV-Stelle ihr Nichteinverständnis mit der am 19. Juli 2013 verfügten Rentenaufhebung mitgeteilt und um nochmalige Begutachtung und Überprüfung des Invaliditätsgrades ersucht hatte. Damit galt die Beschwerdefrist nach Art. 60 Abs. 1 ATSG grundsätzlich als gewahrt ( Art. 39 Abs. 2 ATSG [i.V.m. Art. 60 Abs. 2 ATSG ] und Art. 21 Abs. 2 VwVG ; BGE 120 V 413 E. 3b S. 416; 113 Ib 34 E. 3 S. 39 oben; 111 V 406 E. 2 S. 407; Urteil 9C_885/2009 vom 1. Februar 2010 E. 4.1). Die Beschwerdegegnerin, welche die Eingabe vom 12. August 2013 nicht als Wiedererwägungsgesuch im Sinne von Art. 53 Abs. 2 ATSG betrachtete, wäre daher verpflichtet gewesen, diese unverzüglich an das zuständige kantonale Versicherungsgericht weiterzuleiten bzw. zu überweisen ( Art. 30 ATSG und Art. 58 Abs. 3 ATSG sowie Art. 8 Abs. 1 VwVG ; BGE 120 V 413 E. 3a S. 415; 102 V 73 E. 1 S. 75; Urteil 2C_603/2008 vom 11. Februar 2009 E. 3.2; Urteil des Eidg. Versicherungsgerichts K 18/77 vom 5. Dezember 1977 E. 2, in: RSKV 1978 Nr. 316 S. 52). Davon durfte sie nicht etwa mit der Begründung absehen, das Schreiben vom 12. August 2013 stelle keine formgültige Beschwerde dar (Urteil I 251/87 vom 1. Juli 1988 E. 2c in fine mit Hinweis auf BGE 97 I 852 , in: ZAK 1988 S. 617), wie die Vorinstanz anzunehmen scheint. Das zuständige Versicherungsgericht hat zu entscheiden, ob eine rechtzeitig, allenfalls bei der verfügenden IV-Stelle eingereichte, nicht notwendigerweise als solche bezeichnete Beschwerde den Formerfordernissen genügt, insbesondere ob ein Anfechtungswille gegeben ist (Urteil 9C_186/2008 vom 4. Juni 2008 E. 2.1; vgl. auch BGE 134 V 162 E. 2 S. 163).</w:t>
      </w:r>
    </w:p>
    <w:p>
      <w:r>
        <w:rPr>
          <w:b/>
        </w:rPr>
        <w:t>E. 3</w:t>
      </w:r>
    </w:p>
    <w:p>
      <w:r>
        <w:t>Die Beschwerdegegnerin überwies das Schreiben vom 12. August 2013 nicht an die Vorinstanz, sondern sandte es zwei Tage später an die Beschwerdeführerin zurück mit dem Hinweis, gegen die am 19. Juli 2013 verfügte Aufhebung der Invalidenrente könne lediglich beim kantonalen Versicherungsgericht schriftlich Beschwerde erhoben werden. Damit hat die IV-Stelle ihre Weiterleitungspflicht verletzt, was indessen - bei gegebenem Anfechtungswillen - nichts an der grundsätzlich fristwahrenden Wirkung der rechtzeitig bei ihr eingereichten Beschwerde ändert (Urteil 9C_186/2008 vom 4. Juni 2008 E. 2.1), wie die Beschwerdeführerin sinngemäss vorbringt. Dieser Fehler berechtigte sie - umgekehrt - jedoch nicht, beliebig lange mit der Erhebung der Beschwerde beim zuständigen kantonalen Versicherungsgericht zuzuwarten. Vielmehr war sie nach dem verfassungsmässigen Grundsatz von Treu und Glauben ( Art. 5 Abs. 3 BV ), der auch für Private im Verkehr mit Behörden gilt ( BGE 137 V 394 E. 7.1 S. 403; im Prozess im Besonderen: BGE 125 V 373 E. 2b/aa S. 375; Urteil 8C_738/2007 vom 26. März 2008 E. 6.2), gehalten, innerhalb einer vernünftigen Zeitspanne zu handeln. Erst rund ein halbes Jahr später Anfang Februar 2014 reichte sie das Schreiben vom 12. August 2013 beim kantonalen Versicherungsgericht zur Behandlung als Beschwerde ein. Auch unter Berücksichtigung des Umstandes, dass die Beschwerdeführerin nicht rechtskundig ist, kann der Vorinstanz weder Willkür in der Rechtsanwendung noch rechtsmissbräuchliches oder widersprüchliches Verhalten vorgeworfen werden ( BGE 136 I 254 E. 5.2 S. 261) noch eine Bundesrechtsverletzung dadurch, dass sie auf die erst rund ein halbes Jahr später bei ihr eingereichte Beschwerde wegen Verspätung nicht eingetreten ist (vgl. auch Urteil 9C_186/2008 vom 4. Juni 2008 E. 2.3).</w:t>
      </w:r>
    </w:p>
    <w:p>
      <w:r>
        <w:rPr>
          <w:b/>
        </w:rPr>
        <w:t>E. 4</w:t>
      </w:r>
    </w:p>
    <w:p>
      <w:r>
        <w:t>Ausgangsgemäss ist die Beschwerdeführerin grundsätzlich kostenpflichtig ( Art. 66 Abs. 1 BGG ); ihrem Gesuch um unentgeltliche Rechtspflege kann jedoch entsprochen werden ( Art. 64 Abs. 1 BGG ; BGE 125 V 201 E. 4a S. 202). Es wird indessen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