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757/2016 vom 10. Februar 2017</w:t>
      </w:r>
    </w:p>
    <w:p>
      <w:r>
        <w:t>Bundesgericht, 2017-02-10, IT</w:t>
      </w:r>
    </w:p>
    <w:p>
      <w:r>
        <w:rPr>
          <w:b/>
        </w:rPr>
        <w:t xml:space="preserve">Quelle: </w:t>
      </w:r>
      <w:r>
        <w:t>https://mcp.opencaselaw.ch/entscheid/bger_9C_757_2016</w:t>
      </w:r>
    </w:p>
    <w:p>
      <w:r>
        <w:t>FR: TF 9C 757/2016 du 10 février 2017</w:t>
      </w:r>
    </w:p>
    <w:p>
      <w:r>
        <w:t>IT: TF 9C 757/2016 del 10 febbraio 2017</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L'oggetto della lite concerne il diritto della ricorrente a una rendita dell'assicurazione invalidità di 3/4 con il grado del 60% a decorrere dal 25 marzo 2014 e continua. Considerate le censure sollevate, controversa è la valutazione delle affezioni di natura psichiatrica, sia in relazione alla loro diagnosi che alla ripercussione sull'analisi della capacità lavorativa. Nei considerandi del giudizio impugnato, la Corte cantonale ha già esposto le norme legali e i principi giurisprudenziali necessari alla risoluzione del caso, rammentando in particolare i presupposti cui è subordinato il valore probatorio generalmente riconosciuto ai referti medici fatti allestire dall'amministrazione conformemente alle regole di procedura applicabili. A tale esposizione può essere fatto riferimento e prestata adesione.</w:t>
      </w:r>
    </w:p>
    <w:p>
      <w:r>
        <w:rPr>
          <w:b/>
        </w:rPr>
        <w:t>E. 3</w:t>
      </w:r>
    </w:p>
    <w:p>
      <w:r>
        <w:t>Fondandosi sulle conclusioni della perizia pluridisciplinare SAM del 6 novembre 2014 e del suo complemento del 24 marzo 2015 - i cui contenuti sono stati confermati dal Servizio medico Regionale (SMR) dell'UAI nel rapporto finale del 10 novembre 2014 (doc. AI 73), confermato il 1° aprile 2015 e il 15 settembre 2015 - e considerata la valutazione del 5 giugno 2015 del consulente in integrazione professionale dell'UAI, la Corte cantonale ha confermato la decisione dell'UAI che ha riconosciuto un diritto a una rendita d'invalidità temporanea, segnatamente una rendita intera dal 1° agosto 2013 al 28 febbraio 2014 e una mezza rendita dal 1° marzo al 31 maggio 2014.</w:t>
      </w:r>
    </w:p>
    <w:p>
      <w:r>
        <w:rPr>
          <w:b/>
        </w:rPr>
        <w:t>E. 4.1</w:t>
      </w:r>
    </w:p>
    <w:p>
      <w:r>
        <w:t>La ricorrente contesta essenzialmente alla Corte cantonale di aver optato per le conclusioni a cui sarebbe giunto il perito SAM dott. B.________ sulle sue affezioni d'ordine psichiatrico, sia per quanto attiene alla diagnosi che per la definizione dell'incapacità lavorativa derivante. A suo dire i diversi rapporti medici del curante dott. C.________ rifletterebbero "senz'altro" meglio la sua condizione psichiatrica, considerato che ha avuto modo di monitorarla e osservarla per lungo tempo. La ricorrente ritiene altresì che il Tribunale cantonale, preso atto delle divergenze diagnostiche, avrebbe perlomeno dovuto porsi la questione di un nuovo accertamento medico per la verifica della patologia e della sua influenza sulla capacità lavorativa.</w:t>
      </w:r>
    </w:p>
    <w:p>
      <w:r>
        <w:rPr>
          <w:b/>
        </w:rPr>
        <w:t>E. 4.2</w:t>
      </w:r>
    </w:p>
    <w:p>
      <w:r>
        <w:t>Tali censure non sono fondate, considerato che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Spetta alla ricorrente dimostrare che l'apprezzamento del giudice cantonale è manifestamente inesatto, rispettivamente arbitrario ( art. 105 cpv. 2 LTF ) e non compete al Tribunale federale procedere nuovamente all'apprezzamento delle prove amministrate (cfr. fra tante, sentenza 9C_482/2016 del 22 dicembre 2016 consid. 3.2 con riferimenti). Nel suo memoriale ricorsuale la ricorrente si limita ad affermare che, a suo giudizio, le opinioni divergenti del suo medico curante rifletterebbero meglio la sua condizione psichiatrica ma questo non è sufficiente per rimettere in discussione una perizia disposta dall'amministrazione e a imporre nuovi accertamenti (cfr. fra tante sentenza 9C_717/2014 del 17 dicembre 2015 consid. 5.2 con riferimento).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Non vi è pertanto alcun motivo per ritenere che il Tribunale cantonale abbia commesso arbitrio fondando il proprio giudizio sugli esiti della perizia pluridisciplinare del SAM del 6 novembre 2014 e sul complemento del 24 marzo 2015. Poiché, alla luce delle censure sollevate dalla ricorrente, l'istruttoria ordinata dall'UAI si è rivelata esente da critiche, non vi è la necessità di procedere come richiesto dalla ricorrente a un nuovo accertamento medico.</w:t>
      </w:r>
    </w:p>
    <w:p>
      <w:r>
        <w:rPr>
          <w:b/>
        </w:rPr>
        <w:t>E. 5</w:t>
      </w:r>
    </w:p>
    <w:p>
      <w:r>
        <w:t>In esito alle suesposte considerazioni il ricorso deve essere respinto secondo la procedura semplificata dell' art. 109 cpv. 2 lett. a LTF come manifestamente infondato.</w:t>
      </w:r>
    </w:p>
    <w:p>
      <w:r>
        <w:rPr>
          <w:b/>
        </w:rPr>
        <w:t>E. 6</w:t>
      </w:r>
    </w:p>
    <w:p>
      <w:r>
        <w:t>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