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9C_754/2011 vom 5. März 2012</w:t>
      </w:r>
    </w:p>
    <w:p>
      <w:r>
        <w:t>Bundesgericht, 2012-03-05, DE</w:t>
      </w:r>
    </w:p>
    <w:p>
      <w:r>
        <w:rPr>
          <w:b/>
        </w:rPr>
        <w:t xml:space="preserve">Quelle: </w:t>
      </w:r>
      <w:r>
        <w:t>https://mcp.opencaselaw.ch/entscheid/bger_9C_754_2011</w:t>
      </w:r>
    </w:p>
    <w:p>
      <w:r>
        <w:t>FR: TF 9C_754/2011 du 5 mars 2012</w:t>
      </w:r>
    </w:p>
    <w:p>
      <w:r>
        <w:t>IT: TF 9C_754/2011 del 5 marzo 2012</w:t>
      </w:r>
    </w:p>
    <w:p>
      <w:pPr>
        <w:pStyle w:val="Heading2"/>
      </w:pPr>
      <w:r>
        <w:t>Erwägungen</w:t>
      </w:r>
    </w:p>
    <w:p>
      <w:r>
        <w:rPr>
          <w:b/>
        </w:rPr>
        <w:t>E. 1.1</w:t>
      </w:r>
    </w:p>
    <w:p>
      <w:r>
        <w:t>Gemäss Art. 73 Abs. 1 BVG bezeichnet jeder Kanton ein Gericht, das als letzte kantonale Instanz über Streitigkeiten zwischen Vorsorgeeinrichtungen, Arbeitgebern und Anspruchsberechtigten entscheidet. Dieses Gericht entscheidet unter anderem auch über Verantwortlichkeitsansprüche nach Art. 52 (lit. c) und über den Rückgriff nach Art. 56a Abs. 1 (lit. d).</w:t>
      </w:r>
    </w:p>
    <w:p>
      <w:r>
        <w:rPr>
          <w:b/>
        </w:rPr>
        <w:t>E. 1.2</w:t>
      </w:r>
    </w:p>
    <w:p>
      <w:r>
        <w:t>Art. 52 BVG (in der hier massgebenden, bis Ende 2004 gültig gewesenen Fassung) hat die Ersatzpflicht aller mit der Verwaltung, Geschäftsführung oder Kontrolle der Vorsorgeeinrichtung betrauten Personen für den ihr zugefügten Schaden zum Inhalt. Er stellt eine unmittelbar gesetzliche Haftung für absichtliches oder fahrlässiges Handeln des umschriebenen Personenkreises dar (ISABELLE VETTER-SCHREIBER, Kommentar Berufliche Vorsorge, 2009, N. 1 und 2 zu Art. 52 BVG ).</w:t>
      </w:r>
    </w:p>
    <w:p>
      <w:r>
        <w:t>Art. 56a Abs. 1 BVG (ebenfalls in der bis Ende 2004 gültig gewesenen Fassung) bildet die rechtliche Grundlage sowohl für die Verantwortlichkeit der nicht unter Art. 52 BVG fallenden Personen, die an der Zahlungsunfähigkeit der Vorsorgeeinrichtung ein Verschulden trifft, wie auch für das Rückgriffsrecht des Sicherheitsfonds auf ebendiese Personen.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 BGE 130 V 277 E. 2.1 S. 280).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(SVR 2008 BVG Nr. 33 S. 135, 9C_92/2007 E. 1.3).</w:t>
      </w:r>
    </w:p>
    <w:p>
      <w:r>
        <w:rPr>
          <w:b/>
        </w:rPr>
        <w:t>E. 2</w:t>
      </w:r>
    </w:p>
    <w:p>
      <w:r>
        <w:t>Wie die Vorinstanz für das Bundesgericht verbindlich festgestellt hat (vgl. Art. 105 BGG ), wurden gemäss Kaufvertrag vom ........ die Aktien, nicht aber die Aktiven und Passiven der C.________ AG auf die Beschwerdegegnerin übertragen. Dabei hat sie unter Hinweis auf BGE 86 II 89 zu Recht festgehalten, dass der Aktienkauf keine Geschäftsübernahme im Sinne von Art. 181 OR (in der bis Ende Juni 2004 gültig gewesenen Fassung) bildet. Es ist denn auch unbestritten, dass beide Firmen rechtlich selbstständige Gesellschaften sind. Die Beschwerdegegnerin kann daher von vornherein nicht aufgrund einer Übernahme der früheren Kontroll- und Revisionsstelle im Sinne von Art. 181 OR passivlegitimiert sein.</w:t>
      </w:r>
    </w:p>
    <w:p>
      <w:r>
        <w:rPr>
          <w:b/>
        </w:rPr>
        <w:t>E. 3</w:t>
      </w:r>
    </w:p>
    <w:p>
      <w:r>
        <w:t>Damit stellt sich zunächst die Frage, ob die Beschwerdegegnerin aus eigener Schuld (berufsvorsorgerechtlich) haftbar geworden ist. Die Frage ist, wie die folgenden Ausführungen zeigen, zu verneinen:</w:t>
      </w:r>
    </w:p>
    <w:p>
      <w:r>
        <w:rPr>
          <w:b/>
        </w:rPr>
        <w:t>E. 3.1</w:t>
      </w:r>
    </w:p>
    <w:p>
      <w:r>
        <w:t>Gemäss Klageschrift vom 14. Juli 2010 steht ein Handlungszeitraum vor dem (mit Wirkung auf den .... erfolgten) Aktienkauf im Zentrum. Die Vorinstanz hat dazu nicht offensichtlich unrichtig festgestellt ( Art. 105 BGG ), dass sich die allfälligen haftungsrechtlichen Vorgänge vor der Übernahme der S._________ AG durch die Beschwerdegegnerin verwirklicht hätten. Die Beschwerdeführerin bestätigt im vorliegenden Verfahren, der Schaden habe sich bereits vor der Übernahme der Schadensverursacherin S. resp. C.________ AG durch die Beschwerdegegnerin ereignet. Demnach kann die Beschwerdegegnerin nicht wegen einer berufsvorsorgerechtlich relevanten Pflichtverletzung, die auf eigenem Verhalten beruht (vgl. oben E. 1), ins Recht gefasst werden. Gleichzeitig steht fest, dass hinsichtlich des eingeklagten Schadens auch nicht das Institut des Durchgriffs zur Anwendung gelangen kann (vgl. dazu MARKUS DENNLER, Durchgriff im Konzern, Diss. Zürich 1984, insbesondere S. 32 f.), wie die Beschwerdeführerin - zumindest dem Titel der betreffenden Vorbringen nach - glauben zu machen versucht.</w:t>
      </w:r>
    </w:p>
    <w:p>
      <w:r>
        <w:rPr>
          <w:b/>
        </w:rPr>
        <w:t>E. 3.2</w:t>
      </w:r>
    </w:p>
    <w:p>
      <w:r>
        <w:t>Das Vorliegen einer gegenüber der Beschwerdeführerin abgegebenen Garantie, beispielsweise einer bindenden Patronatserklärung, wird weder behauptet noch ist eine solche aktenkundig. Im Übrigen wäre eine solche Vertragsbeziehung auf dem zivilrechtlichen Weg klageweise geltend zu machen.</w:t>
      </w:r>
    </w:p>
    <w:p>
      <w:r>
        <w:rPr>
          <w:b/>
        </w:rPr>
        <w:t>E. 3.3</w:t>
      </w:r>
    </w:p>
    <w:p>
      <w:r>
        <w:t>Die Beschwerdeführerin stützt sich indes auf erwecktes Vertrauen in das Konzernverhalten der Muttergesellschaft. Eine solche Vertrauenshaftung kommt, wie das Bundesgericht unlängst (erneut) betont hat, nur unter strengen Voraussetzungen in Betracht (vgl. Urteil 4A_306/2009 vom 8. Februar 2010; BGE 124 III 297 und 120 II 331). Eine Haftung entsteht nur, wenn die Muttergesellschaft durch ihr Verhalten bestimmte Erwartungen in ihr Konzernverhalten und ihre Konzernverantwortung erweckt, später aber in treuwidriger Weise enttäuscht. Das blosse Bestehen einer Konzernverbindung vermag keine Grundlage für eine Vertrauenshaftung abzugeben. Schutzwürdiges Vertrauen setzt ein Verhalten der Muttergesellschaft voraus, das geeignet ist, hinreichend konkrete und bestimmte Erwartungen zu wecken (erwähntes Urteil 4A_306/2009 E. 5.1 in fine). Diesfalls hat die Muttergesellschaft für den Schaden einzustehen, den sie durch ihr gegen Treu und Glauben verstossendes Verhalten adäquat verursacht hat ( BGE 120 II 331 E. 5a S. 336).</w:t>
      </w:r>
    </w:p>
    <w:p>
      <w:r>
        <w:t>Es kann offenbleiben, ob der vorliegende Sachverhalt überhaupt mit denjenigen Sachverhalten verglichen werden kann, die das Bundesgericht in den zitierten Fällen unter dem Haftungsaspekt des Konzernvertrauens zu beurteilen hatte. Ebenso wenig braucht abschliessend beantwortet zu werden, ob die Geltendmachung einer Haftung aus Konzernvertrauen überhaupt in die sachliche Zuständigkeit des Berufsvorsorgegerichts fällt (vgl. oben E. 1). Die Berufung der Beschwerdeführerin auf das sogenannte Konzernvertrauen (vgl. dazu auch PETER V. KUNZ, Klarstellungen zur Konzernhaftung, in: recht 2011 S. 41 ff.) hilft hier ohnehin nicht weiter. Nach dem in E. 3.1 Gesagten war der eingeklagte Schaden bei der Vorsorgeeinrichtung bereits eingetreten, als die Beschwerdegegnerin Muttergesellschaft der S. resp. C.________ AG wurde. Mit Bezug auf Handlungen vor der Gründung der Beschwerdegegnerin und deren Tätigwerden für die Vorsorgeeinrichtung konnte jene von vornherein kein (später enttäuschtes) Vertrauen erwecken.</w:t>
      </w:r>
    </w:p>
    <w:p>
      <w:r>
        <w:rPr>
          <w:b/>
        </w:rPr>
        <w:t>E. 3.4</w:t>
      </w:r>
    </w:p>
    <w:p>
      <w:r>
        <w:t>Die Beschwerdeführerin bringt im vorliegenden Verfahren erstmals vor, ihr Schaden ergebe sich daraus, dass die P.________ AG zu keinem Zeitpunkt während den langwierigen Verhandlungen und im Briefverkehr vor dem Prozess auf den Umstand hingewiesen habe, sie belange die falsche Konzerngesellschaft. Die P.________ AG habe die Stiftung Sicherheitsfonds BVG durch dieses Verhalten insoweit geschädigt, als letztere im Vertrauen auf die Zuständigkeit der P.________ AG keine Verjährungsunterbrechungshandlung gegen die C.________ AG vorgenommen und eine Klage gegen die - wie sich erst während des Prozesses herausgestellt habe - falsche Konzerngesellschaft eingeleitet habe. Dabei geht es nicht mehr um berufsvorsorgerechtliche Pflichtverletzungen im Zusammenhang mit den Darlehen an die W.________-Gesellschaften (vgl. Sachverhalt lit. B). Insoweit ist die Klage nach Art. 73 BVG nicht gegeben. Eine Schadenersatzforderung wegen "Kundgabe falsche(r) Information", das heisst aus Rechtsverlust, ist zivilrechtlicher Natur und gehört nicht in den sachlichen Zuständigkeitsbereich des Berufsvorsorgegerichts (vgl. E. 1). Weiterungen zur Zulässigkeit der neuen Ausführungen erübrigen sich.</w:t>
      </w:r>
    </w:p>
    <w:p>
      <w:r>
        <w:rPr>
          <w:b/>
        </w:rPr>
        <w:t>E. 4</w:t>
      </w:r>
    </w:p>
    <w:p>
      <w:r>
        <w:t>Eine andere Frage ist, ob die Beschwerdegegnerin eine fremde (berufsvorsorgerechtliche) Schuld resp. Haftung übernommen hat. Diese Frage bedarf der ergänzenden Abklärung.</w:t>
      </w:r>
    </w:p>
    <w:p>
      <w:r>
        <w:rPr>
          <w:b/>
        </w:rPr>
        <w:t>E. 4.1</w:t>
      </w:r>
    </w:p>
    <w:p>
      <w:r>
        <w:t>Im vorinstanzlichen Verfahren hat die Beschwerdeführerin sowohl in der Replik vom 19. November 2010 als auch in der Stellungnahme zur Duplik vom 15. März 2011 geltend gemacht, die Beschwerdegegnerin habe mit ihren nach aussen sichtbar gewordenen Handlungen den Anschein einer "Geschäftsübernahme" erweckt. Dabei bezieht sich die Beschwerdeführerin nur terminologisch, nicht aber materiell auf Art. 181 OR ; sie räumte selber ein, dass formell keine Geschäftsübernahme nach aArt. 181 OR stattgefunden hat (oben E. 2). Tatsächlich stellt sich die Stiftung Sicherheitsfonds BVG auf den Rechtsstandpunkt, das Verhalten der Beschwerdegegnerin müsse dahingehend gedeutet werden, diese sei in die bestehenden Mandate der S. resp. C.________ AG eingetreten und habe damit deren Schuld übernommen.</w:t>
      </w:r>
    </w:p>
    <w:p>
      <w:r>
        <w:rPr>
          <w:b/>
        </w:rPr>
        <w:t>E. 4.2</w:t>
      </w:r>
    </w:p>
    <w:p>
      <w:r>
        <w:t>Die Vorinstanz ist auf das sinngemässe Vorbringen der konkludenten Schuldübernahme im Sinne von Art. 176 Abs. 3 OR nicht weiter eingegangen (vgl. E. 2.4 des angefochtenen Entscheids). Damit hat sie den Anspruch der Beschwerdeführerin auf rechtliches Gehör ( Art. 29 Abs. 2 BV ) verletzt. Die - in diesem Punkt - fehlenden Sachverhaltsfeststellungen und der grundsätzliche Anspruch auf Einhaltung des Instanzenzuges (Urteil 8C_386/2011 vom 19. September 2011 E. 3.2 in fine mit weiteren Hinweisen) sprechen gegen eine Heilung im bundesgerichtlichen Verfahren. Der angefochtene Entscheid ist daher aufzuheben und die Sache an die Vorinstanz zurückzuweisen, damit sie die Passivlegitimation der Beschwerdegegnerin (zusätzlich) unter dem Blickwinkel einer konkludenten Schuldübernahme beurteile. Massgebend ist dabei der rechtsgeschäftliche Wille, den die Beschwerdegegnerin nach dem Aktienkauf sichtbar nach aussen kundgetan hat, wie er - vor allem seitens der Beschwerdeführerin - nach dem Vertrauensprinzip verstanden werden durfte und musste. Kann kein "stillschweigender" Übernahmewille ausgemacht werden, verbleibt definitiv weder für die Anwendung der Haftungsnorm von Art. 52 BVG noch für diejenige von Art. 56a BVG Raum.</w:t>
      </w:r>
    </w:p>
    <w:p>
      <w:r>
        <w:rPr>
          <w:b/>
        </w:rPr>
        <w:t>E. 5</w:t>
      </w:r>
    </w:p>
    <w:p>
      <w:r>
        <w:t>Die Rückweisung der Sache an die Vorinstanz zu neuem Entscheid mit noch offenem Ausgang gilt für die Auferlegung der Gerichtskosten und der Parteientschädigung als volles Obsiegen der beschwerdeführenden Partei ( Art. 66 Abs. 1, Art. 68 Abs. 2 BGG ; BGE 132 V 215 E. 6.1 S. 235). Der anwaltlich nicht vertretenen Stiftung Sicherheitsfonds BVG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