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752/2020 vom 9. März 2021</w:t>
      </w:r>
    </w:p>
    <w:p>
      <w:r>
        <w:t>Bundesgericht, 2021-03-09, DE</w:t>
      </w:r>
    </w:p>
    <w:p>
      <w:r>
        <w:rPr>
          <w:b/>
        </w:rPr>
        <w:t xml:space="preserve">Quelle: </w:t>
      </w:r>
      <w:r>
        <w:t>https://mcp.opencaselaw.ch/entscheid/bger_9C_752_2020</w:t>
      </w:r>
    </w:p>
    <w:p>
      <w:r>
        <w:t>FR: TF 9C 752/2020 du 9 mars 2021</w:t>
      </w:r>
    </w:p>
    <w:p>
      <w:r>
        <w:t>IT: TF 9C 752/2020 del 9 marzo 2021</w:t>
      </w:r>
    </w:p>
    <w:p>
      <w:pPr>
        <w:pStyle w:val="Heading2"/>
      </w:pPr>
      <w:r>
        <w:t>Regeste</w:t>
      </w:r>
    </w:p>
    <w:p>
      <w:r>
        <w:t>Erwerbsersatz für Dienstleistende und bei Mutterschaft | Erwerbersatzordnung</w:t>
      </w:r>
    </w:p>
    <w:p>
      <w:pPr>
        <w:pStyle w:val="Heading2"/>
      </w:pPr>
      <w:r>
        <w:t>Erwägungen</w:t>
      </w:r>
    </w:p>
    <w:p>
      <w:r>
        <w:rPr>
          <w:b/>
        </w:rPr>
        <w:t>E. 1</w:t>
      </w:r>
    </w:p>
    <w:p>
      <w:r>
        <w:t>Das Bundesgericht prüft die Zulässigkeit einer Beschwerde von Amtes wegen und mit freier Kognition ( Art. 29 Abs. 1 BGG ; BGE 136 V 7 E. 2 S. 9; Urteil 9C_250/2017 vom 30. Oktober 2017 E. 1).</w:t>
      </w:r>
    </w:p>
    <w:p>
      <w:r>
        <w:rPr>
          <w:b/>
        </w:rPr>
        <w:t>E. 2</w:t>
      </w:r>
    </w:p>
    <w:p>
      <w:r>
        <w:t>Das BSV ist zur Beschwerde legitimiert ( Art. 89 Abs. 2 lit. a BGG i.V.m. Art. 62 Abs. 1bis ATSG , Art. 42 EOV [SR 834.11] und Art. 201 Abs. 1 AHVV [SR 831.101]).</w:t>
      </w:r>
    </w:p>
    <w:p>
      <w:r>
        <w:rPr>
          <w:b/>
        </w:rPr>
        <w:t>E. 3.1</w:t>
      </w:r>
    </w:p>
    <w:p>
      <w:r>
        <w:t>Die Vorinstanz versagte Art. 5 Abs. 2 Satz 2 der Verordnung über Massnahmen bei Erwerbsausfall im Zusammenhang mit dem Coronavirus (Covid-19-Verordnung Erwerbsausfall; SR 830.31; Stand vom 3. Juli 2020 [recte 6. Juli 2020]) die Anwendung und hielt fest, der Versicherte habe Anspruch, dass die definitive Steuerveranlagung für das Jahr 2019 auch nach dem 16. September 2020 berücksichtigt werde. Das kantonale Gericht wies daher die Angelegenheit an die Verwaltung zurück, damit diese nach Ausstellung und Vorlage der definitiven Steuerveranlagung 2019 über den Anspruch auf eine Corona-Erwerbsersatzentschädigung neu entscheide.</w:t>
      </w:r>
    </w:p>
    <w:p>
      <w:r>
        <w:rPr>
          <w:b/>
        </w:rPr>
        <w:t>E. 3.2</w:t>
      </w:r>
    </w:p>
    <w:p>
      <w:r>
        <w:t>Der angefochtene Entscheid regelt einen Teilaspekt einer Streitsache, womit es sich materiellrechtlich um einen Zwischenentscheid handelt ( BGE 140 V 321 E. 3.1 S. 325; 133 V 477 E. 4.1.3 S. 4.1.3). Das ist unbestritten.</w:t>
      </w:r>
    </w:p>
    <w:p>
      <w:r>
        <w:rPr>
          <w:b/>
        </w:rPr>
        <w:t>E. 3.3</w:t>
      </w:r>
    </w:p>
    <w:p>
      <w:r>
        <w:t>Gegen Zwischenentscheide, die weder zu Ausstandsbegehren noch zur Zuständigkeit ergehen (dazu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Beschwerdeverfahren ersparen würde (lit. b).</w:t>
      </w:r>
    </w:p>
    <w:p>
      <w:r>
        <w:rPr>
          <w:b/>
        </w:rPr>
        <w:t>E. 3.4</w:t>
      </w:r>
    </w:p>
    <w:p>
      <w:r>
        <w:t>Das BSV erblickt einen nicht wieder gutzumachenden Nachteil darin, dass die Vorinstanz Art. 5 Abs. 2 Satz 2 Covid-19-Verordnung Erwerbsausfall nicht angewendet hat. Bei einer Zementierung dieses Grundsatzes, wonach eine definitive Steuerveranlagung auch nach dem 16. September 2020 eingereicht und eine Neuberechnung verlangt werden könne, müsste eine Flut von bereits abgeschlossenen Verfahren neu aufgerollt werden. Das BSV liefe Gefahr, dass die Frage zur res iudicata werde, wenn sie den vorinstanzlichen Entscheid nicht vor Bundesgericht ziehe. Ein Nichteintreten des Bundesgerichts mache zudem auch aus prozessökonomischen Gründen wenig Sinn, werde die Verwaltung und das kantonale Gericht entsprechend dem Zwischenentscheid entscheiden, weshalb es letztendlich am Bundesgericht sein werde, in der Sache einen Entscheid zu fällen.</w:t>
      </w:r>
    </w:p>
    <w:p>
      <w:r>
        <w:rPr>
          <w:b/>
        </w:rPr>
        <w:t>E. 3.5</w:t>
      </w:r>
    </w:p>
    <w:p>
      <w:r>
        <w:t>Das BSV kann einen Rückweisungsentscheid später zusammen mit dem Endentscheid anfechten ( Art. 93 Abs. 3 BGG ). Es liegt keine abgeurteilte Sache (res iudicata) vor. Dem BSV entsteht deshalb bei einem Rückweisungsentscheid regelmässig kein nicht wieder gutzumachender Nachteil (Urteile 2C_798/2019 vom 29. Januar 2020 E. 1.5.3 und 9C_585/2018 vom 11. Februar 2019 E. 3.3.2 mit Hinweis auf SVR 2012 IV Nr. 23 S. 97, 9C_329/2011 E. 3.2). Daran ändert weder eine mögliche präjudizielle Auswirkung des angefochtenen Zwischenentscheides auf die Geschäftslast der Verwaltungsbehörden in anderen Fällen noch das Anliegen, wichtige in Aussicht stehende Rechtsfragen möglichst früh zu klären, nichts, begründen diese Umstände nach dem Gesetz keinen zulässigen Ausnahmefall für eine sofortige Beschwerde gegen einen Zwischenentscheid (vgl. Urteil 1B_242/2008 vom 11. November 2008 E. 3.2). Gemäss dem vorinstanzlichen Entscheid hat die Ausgleichskasse die Vorlage der definitiven Steuerveranlagung 2019 abzuwarten und alsdann über den Anspruch des Versicherten auf eine Corona-Erwerbsersatzentschädigung neu zu entscheiden. Inwiefern dadurch ein bedeutender Aufwand an Zeit und Kosten für ein weitläufiges Beweisverfahren verursachen wird, ist nicht ersichtlich. Die Notwendigkeit, dass nach einem nicht anfechtbaren Rückweisungsentscheid erneut der Rechtsmittelweg bestritten werden muss - entsprechende Aufwände entstehen auch einer versicherten Person, wenn der Rückweisungsentscheid Feststellungen zu dessen Lasten enthält - erfüllt die in Art. 93 Abs. 1 lit. b BGG statuierte Voraussetzung nicht, stellt doch die selbständige Anfechtbarkeit von Zwischenentscheiden eine Ausnahme dar (vgl. BGE 144 III 253 E. 1.3 S. 254; 143 III 290 E. 1.4 S. 295). Auf die Beschwerde ist nicht einzutreten.</w:t>
      </w:r>
    </w:p>
    <w:p>
      <w:r>
        <w:rPr>
          <w:b/>
        </w:rPr>
        <w:t>E. 4</w:t>
      </w:r>
    </w:p>
    <w:p>
      <w:r>
        <w:t>Es sind keine Gerichtskosten zu erheben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