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752/2015 vom 28. Dezember 2016</w:t>
      </w:r>
    </w:p>
    <w:p>
      <w:r>
        <w:t>Bundesgericht, 2016-12-28, DE</w:t>
      </w:r>
    </w:p>
    <w:p>
      <w:r>
        <w:rPr>
          <w:b/>
        </w:rPr>
        <w:t xml:space="preserve">Quelle: </w:t>
      </w:r>
      <w:r>
        <w:t>https://mcp.opencaselaw.ch/entscheid/bger_9C_752_2015</w:t>
      </w:r>
    </w:p>
    <w:p>
      <w:r>
        <w:t>FR: TF 9C 752/2015 du 28 décembre 2016</w:t>
      </w:r>
    </w:p>
    <w:p>
      <w:r>
        <w:t>IT: TF 9C 752/2015 del 28 dicembre 2016</w:t>
      </w:r>
    </w:p>
    <w:p>
      <w:pPr>
        <w:pStyle w:val="Heading2"/>
      </w:pPr>
      <w:r>
        <w:t>Regeste</w:t>
      </w:r>
    </w:p>
    <w:p>
      <w:r>
        <w:t>Berufliche Vorsorge (Verantwortlichkeit) | Berufliche Vorsorge</w:t>
      </w:r>
    </w:p>
    <w:p>
      <w:pPr>
        <w:pStyle w:val="Heading2"/>
      </w:pPr>
      <w:r>
        <w:t>Erwägungen</w:t>
      </w:r>
    </w:p>
    <w:p>
      <w:r>
        <w:rPr>
          <w:b/>
        </w:rPr>
        <w:t>E. 1.1</w:t>
      </w:r>
    </w:p>
    <w:p>
      <w:r>
        <w:t>Letztinstanzlich formuliert die Beschwerdeführerin ihre Rechtsbegehren - mit Blick auf BGE 141 V 71 E. 9.4 S. 92 - neu. Weil dieses Vorgehen lediglich dem besseren Verständnis dient bzw. der Streitgegenstand nicht ausgeweitet (plus) oder geändert (aliud) wird ( BGE 136 V 362 E. 3.4.2 S. 365 mit Hinweisen), liegt kein unzulässiges neues Begehren im Sinne von Art. 99 Abs. 2 BGG vor.</w:t>
      </w:r>
    </w:p>
    <w:p>
      <w:r>
        <w:rPr>
          <w:b/>
        </w:rPr>
        <w:t>E. 1.2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139 III 120 E. 3.1.2 S. 123). Die Beschwerdeführerin legt im bundesgerichtlichen Verfahren vier undatierte Dokumente ins Recht. Ob es sich dabei um unechte oder echte Noven handelt, ist nicht ersichtlich, kann letztlich aber offenbleiben, da die Beschwerdeführerin nicht hinreichend begründet, weshalb diese Noven ausnahmsweise zulässig sein sollten. Ohnehin sind diese Dokumente nicht entscheidwesentlich.</w:t>
      </w:r>
    </w:p>
    <w:p>
      <w:r>
        <w:rPr>
          <w:b/>
        </w:rPr>
        <w:t>E. 2.1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2.2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Die Rüge und ihre qualifizierte Begründung müssen in der Beschwerdeschrift selber enthalten sein. Der blosse Verweis auf Ausführungen in anderen Rechtsschriften oder auf die Akten genügt nicht ( BGE 141 V 416 E. 4 S. 421 mit Hinweisen).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3.1.1</w:t>
      </w:r>
    </w:p>
    <w:p>
      <w:r>
        <w:t>Nach Art. 52 BVG in der bis 31.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BVG ; Art. 89bis Abs. 6 ZGB [jeweils in der bis 31. März 2004 gültigen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und die Kontrollstelle (vgl. Art. 51 und 53 BVG [in der bis 31. Dezember 2011 gültig gewesenen Fassung]). Diese Organeigenschaft kann wie im Rahmen der Verantwortlichkeitsvorschrift von Art. 52 AHVG auch eine bloss faktische sein (zur zunächst faktischen Organeigenschaft von D.________: E. 4.2 hernach).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S. 55 f.; 128 V 124 E. 4a S. 127 f.; Urteil 9C_421/2009 vom 29. September 2009 E. 5.2, publ. in: SVR 2010 BVG Nr. 5 S. 17). Es genügt jedes Verschulden, also auch leichte Fahrlässigkeit ( BGE 139 V 176 E. 8.3 S. 189; 128 V 124 E. 4e S. 132).</w:t>
      </w:r>
    </w:p>
    <w:p>
      <w:r>
        <w:rPr>
          <w:b/>
        </w:rPr>
        <w:t>E. 3.2</w:t>
      </w:r>
    </w:p>
    <w:p>
      <w:r>
        <w:t>Gemäss Art. 56a Abs. 1 BVG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welche aufgrund der vor dem 1. Januar 2005 erfolgten Sicherstellungsleistungen der Beschwerdeführerin massgebend ist ( BGE 141 V 51 E. 3.2.3 S. 57; Sachverhalt lit. A.e hiervor),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141 V 51 E. 3.2.1 S. 56 f.; 135 V 373 E. 2.2 und 2.3 S. 375 f.; Urteil 9C_754/2011 vom 5. März 2012 E. 1.1 mit Hinweis auf BGE 130 V 227 E. 2.1 S. 280 und Urteil 9C_92/2007 vom 30. April 2008 E. 1.3, publ. in: SVR 2008 BVG Nr. 33 S. 135).</w:t>
      </w:r>
    </w:p>
    <w:p>
      <w:r>
        <w:rPr>
          <w:b/>
        </w:rPr>
        <w:t>E. 3.3</w:t>
      </w:r>
    </w:p>
    <w:p>
      <w:r>
        <w:t>Art. 52 Abs. 1 BVG und Art. 56a Abs. 1 BVG haben wohl zwei verschiedene "Schadensarten" zum Inhalt, einerseits den Schaden, der bei der Stiftung eingetreten ist ( Art. 52 BVG ), anderseits denjenigen, der beim Sicherheitsfonds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Sicherheitsfonds - eine kongruente Geldforderung resultiert ( BGE 141 V 51 E. 3.3 S. 58). Davon zu unterscheiden ist die Frage, unter welchem Rechtstitel gegen wen vorgegangen bzw. wer für welchen Schadensbetrag belangt werden kann. Ersterer Punkt wird nachfolgend angegangen. Auf den zweiten Punkt wird weiter hinten zurückgekommen (vgl. E. 7).</w:t>
      </w:r>
    </w:p>
    <w:p>
      <w:r>
        <w:rPr>
          <w:b/>
        </w:rPr>
        <w:t>E. 4.1</w:t>
      </w:r>
    </w:p>
    <w:p>
      <w:r>
        <w:t>Die Vorinstanz hat für das Bundesgericht - da nicht offensichtlich unrichtig - verbindlich festgestellt (vgl. E. 2.1 vorne), dass die Stiftung alle ihre Ansprüche, die sie gegen die sechs Beschwerdegegner zu haben glaubt, somit auch den aus Art. 52 BVG fliessenden Verantwortlichkeitsanspruch, formell korrekt an die Beschwerdeführerin abgetreten hat. Für die vier Stiftungsräte und die Kontrollstelle steht angesichts ihrer materiellen Organstellung Art. 52 Abs. 1 BVG als Anspruchsgrundlage im Vordergrund (vgl. E. 3.1.2 vorne). Die Beschwerdegegner werden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 Abs. 2 vorne). Was die E.________ AG betrifft, welche mit der Verwaltung des Wertschriftenvermögens betraut war, kommt eine Haftung gemäss Art. 56a BVG in Frage.</w:t>
      </w:r>
    </w:p>
    <w:p>
      <w:r>
        <w:rPr>
          <w:b/>
        </w:rPr>
        <w:t>E. 4.2</w:t>
      </w:r>
    </w:p>
    <w:p>
      <w:r>
        <w:t>Zur Organisation der Stiftung hat das kantonale Gericht festgestellt, zwischen den zwei Gremien "Stiftungsrat" und "Geschäftsleitung" habe keine klare Abgrenzung bezüglich Aufgaben und Funktionen bestanden. Damit sei D.________ ab dem Zeitpunkt seiner Berufung in die Geschäftsleitung am 20. August 1999 (recte: 23. September 1999) als Person mit Organstellung zu qualifizieren. Dies ist letztinstanzlich unbestritten geblieben. Zu ergänzen ist, dass das Basisreglement der G.________ vom 5. Juni 1998 den Stiftungsrat für die Vermögensverwaltung zuständig bezeichnete (Art. 5 Ziff. 1 lit. a i.V.m. Art. 7 lit. f).</w:t>
      </w:r>
    </w:p>
    <w:p>
      <w:r>
        <w:rPr>
          <w:b/>
        </w:rPr>
        <w:t>E. 4.3</w:t>
      </w:r>
    </w:p>
    <w:p>
      <w:r>
        <w:t>Zur Frage der Verjährung - die Beklagten 1, 4 und 5 hatten die Einrede der Verjährung erhoben - erwog die Vorinstanz im Wesentlichen, diese sei nicht eingetreten, weil die Beklagten gegenüber der G.________ und der Stiftung Sicherheitsfonds BVG Verjährungsverzichtserklärungen abgegeben hätten und diese jeweils bis zum Zeitpunkt der Klageeinreichung verlängert worden seien.</w:t>
      </w:r>
    </w:p>
    <w:p>
      <w:r>
        <w:rPr>
          <w:b/>
        </w:rPr>
        <w:t>E. 5.1</w:t>
      </w:r>
    </w:p>
    <w:p>
      <w:r>
        <w:t>Gemäss Art. 71 Abs. 1 BVG verwalten die Vorsorgeeinrichtungen ihr Vermögen so, dass Sicherheit und genügender Ertrag der Anlagen, eine angemessene Verteilung der Risiken sowie die Deckung des voraussehbaren Bedarfes an flüssigen Mitteln gewährleistet sind.</w:t>
      </w:r>
    </w:p>
    <w:p>
      <w:r>
        <w:rPr>
          <w:b/>
        </w:rPr>
        <w:t>E. 5.2</w:t>
      </w:r>
    </w:p>
    <w:p>
      <w:r>
        <w:t>Art. 49a BVV 2 (in der bis 31. Dezember 2001 gültig gewesenen Fassung; ab 1. Januar 2002 durch einen zweiten, hier nicht relevanten Absatz erweitert) bestimmt unter dem Titel "Führungsaufgabe", dass die Vorsorgeeinrichtung die Ziele und Grundsätze, die Durchführung und Überwachung der Vermögensanlage nachvollziehbar so festlegt, dass das paritätische Organ seine Führungsaufgabe vollumfänglich wahrnehmen kann.</w:t>
      </w:r>
    </w:p>
    <w:p>
      <w:r>
        <w:rPr>
          <w:b/>
        </w:rPr>
        <w:t>E. 5.3</w:t>
      </w:r>
    </w:p>
    <w:p>
      <w:r>
        <w:t>Gemäss Art. 50 BVV 2 (in der bis 31. März 2000 gültig gewesenen Fassung) steht bei der Anlage des Vermögens einer Vorsorgeeinrichtung die Sicherheit im Vordergrund (Abs. 1). Die Vorsorgeeinrichtung muss ihre Vermögensanlagen sorgfältig auswählen und dabei auch ihren Zweck und ihre Grösse beachten (Abs. 2). Sie muss ihre Mittel auf die verschiedenen Anlagekategorien, auf bonitätsmässig einwandfreie Schuldner sowie auf verschiedene Regionen verteilen (Abs. 3). Art. 50 BVV 2 (in der ab 1. April 2000 in Kraft gestandenen Fassung) bestimmt zur Sicherheit und Risikoverteilung, dass die Vorsorgeeinrichtung ihre Vermögensanlagen sorgfältig auswählen, bewirtschaften und überwachen muss (Abs. 1). Sie muss bei der Anlage des Vermögens in erster Linie darauf achten, dass die Sicherheit der Erfüllung der Vorsorgezwecke gewährleistet ist. Die Beurteilung der Sicherheit erfolgt insbesondere in Würdigung der gesamten Aktiven und Passiven nach Massgabe der tatsächlichen finanziellen Lage sowie der Struktur und der zu erwartenden Entwicklung des Versichertenbestandes (Abs. 2). Sie muss bei der Anlage des Vermögens die Grundsätze der angemessenen Risikoverteilung einhalten; die Mittel müssen insbesondere auf verschiedene Anlagekategorien, Regionen und Wirtschaftszweige verteilt werden (Abs. 3).</w:t>
      </w:r>
    </w:p>
    <w:p>
      <w:r>
        <w:rPr>
          <w:b/>
        </w:rPr>
        <w:t>E. 5.4</w:t>
      </w:r>
    </w:p>
    <w:p>
      <w:r>
        <w:t>Im Anhang 2 zum Reglement für die Kapitalanlagen der G.________ vom 5. Juni 1998 (fortan: Anlagereglement) wird der Grundsatz der Sicherheit dahingehend konkretisiert, dass Ertragssteigerungen nicht durch die Inkaufnahme zusätzlicher Risiken erfolgen dürfen, wenn diese die Wahrscheinlichkeit der zukünftigen Leistungserbringung substanziell gefährden (lit. C Ziff. 2).</w:t>
      </w:r>
    </w:p>
    <w:p>
      <w:r>
        <w:rPr>
          <w:b/>
        </w:rPr>
        <w:t>E. 6</w:t>
      </w:r>
    </w:p>
    <w:p>
      <w:r>
        <w:t>Die Beschwerdeführerin wirft sämtlichen ins Recht Gefassten pflichtwidriges bzw. widerrechtliches Verhalten einerseits in Bezug auf die Anlagetätigkeit der Stiftung im Zeitraum von 31. Dezember 2000 bis 10. Oktober 2001 vor (E. 6.1-6.2 sogleich), wobei sich die Vorwürfe auf den Bereich Wertschriftenverwaltung beschränken. Andererseits wirft sie den Beschwerdegegnern, ausgenommen die E.________ AG, welche ab Januar 2002 nicht mehr als Vermögensverwalterin der G.________ fungierte, Fehlverhalten in Bezug auf die Vermögensanlage bei L.________ im Zeitraum von 31. Dezember 2001 bis 31. März 2003 vor (E. 6.3 hernach). Nachfolgend (E. 6.1-6.4) wird das Verhalten des Stiftungsrats beleuchtet. Anschliessend wird auf das Verhalten der Vermögensverwalterin (E. 6.5) und der Kontrollstelle (E. 6.6) eingegangen. Die Rechtmässigkeit des Verhaltens ist nach der Rechtslage zu beurteilen, die im Zeitpunkt der als schädigend betrachteten Handlung in Kraft stand (Urteil 9C_997/2009 vom 31. Mai 2010 E. 4, publ. in: SVR 2011 BVG Nr. 2 S. 5).</w:t>
      </w:r>
    </w:p>
    <w:p>
      <w:r>
        <w:rPr>
          <w:b/>
        </w:rPr>
        <w:t>E. 6.1.1</w:t>
      </w:r>
    </w:p>
    <w:p>
      <w:r>
        <w:t>Zunächst ging die Vorinstanz auf den Vorwurf ein, die Anlagestrategie der G.________ sei - wie das Gutachten der Treuhand I.________ vom 24. März 1999 aufgezeigt habe - mit Blick auf die zu geringen Schwankungsreserven zu riskant gewesen und hätte keinesfalls hin zu noch mehr Risiken angepasst werden dürfen. Trotz dieser dem Stiftungsrat bekannten Problematik hätten sich die Beklagten 1-3 von einer weniger riskanten Langzeitstrategie im Wertschriftenbereich verabschiedet und auf eine sehr aktive Anlagestrategie mit einem gezielt agierenden Trader gesetzt, womit die Risiken massiv erhöht worden seien. Damit hätten sie den Grundsatz der Sicherheit der Anlagen verletzt, was insbesondere ab 2001 zu erheblichen Verlusten geführt habe. Die Vorinstanz erwog, im Anhang 2 zum Anlagereglement vom 5. Juni 1998 sei bezüglich Aktienanlagen nicht nur eine passive indexbezogene, sondern auch eine aktive Strategie festgelegt worden. Entgegen der Beschwerdeführerin sei mit der Wahl einer aktiven Vermögensverwaltungsstrategie nicht ausnahmslos eine Erhöhung des Anlagerisikos verbunden, könne doch auch eine passive Anlagestrategie erhebliche Risiken in sich bergen. Inwiefern das Anlagerisiko mit dem Entscheid, eine aktivere Vermögensverwaltung zu tätigen (Stiftungsratsbeschlüsse vom 30. Oktober 1998), in zu beanstandender Weise erhöht worden wäre, sei nicht ersichtlich, da am Anteil der Aktienanlagen keine Änderung vorgenommen worden sei. Jedenfalls sei nicht dargetan, inwiefern reglementarische oder gesetzliche Vorschriften verletzt worden sein sollten. Es treffe zwar zu, dass die Sicherheit der Vermögensanlagen eine wichtige Rolle spiele. Gleichwertig sei jedoch der Grundsatz der genügenden Rentabilität. Entsprechend könne die an der Stiftungsratssitzung vom 30. Oktober 1998 beschlossene Massnahme, die Aktienanlagen künftig marktbezogener zu bewirtschaften, nicht als widerrechtlich qualifiziert werden. Der Vorwurf, es sei hauptsächlich in Einzeltitel investiert worden bzw. Kollektivanlagen seien nur am Rande eingesetzt worden, gehe fehl, zumal die damals geltenden Bestimmungen vom Regelfall der Anlage in Einzeltitel ausgegangen seien. Was die monierte Abweichung von gängigen Marktindices betreffe, zeichne sich eine aktive Anlagestrategie gerade dadurch aus, dass Titelauswahl und -gewichtung von diesen abwichen. Unbestrittenermassen sei im Gutachten der Treuhand I.________ vom 24. März 1999 zufolge ungenügender Schwankungsreserven eine tiefe Risikofähigkeit festgestellt und eine relativ konservative Anlagestrategie empfohlen worden, welche im Widerspruch zur benötigten hohen Rendite gestanden habe. Dass Letztere nicht erzielt werden könne, sei von den Experten indes nicht festgestellt worden. Damit aber sei dem Vorwurf der Boden entzogen, die Stiftungsräte hätten mit dem Versprechen einer hohen Verzinsung der Altersguthaben ein aggressives Wachstum angestrebt und die Sollrendite von 7 % mit einer riskanten Anlagestrategie im Wertschriftenhandel gewährleisten wollen. Angesichts der höheren Wertschwankungsreserven zu Beginn des Jahres 2000 wäre gar eine Erhöhung des Aktienengagements zulässig gewesen, zumal der durchschnittliche Aktienanteil an den Vermögen der Pensionskassen in den Jahren 2005 bis 2014 zwischen 26 % und 29.4 % geschwankt habe. Ferner habe die Stiftung ihre Anlagestrategie nach den im Jahr 2000 eingetretenen Verlusten nicht anpassen müssen, weil per 31. Dezember 2000 die Wertschwankungsreserve immer noch Fr. 674'160.- betragen habe. Damit habe in etwa die Situation wie zu Beginn des Jahres 1999 bestanden, auf welche sich das Gutachten der Treuhand I.________ vom 24. März 1999 bezogen habe. Schliesslich erhelle aus dem Strategievorschlag der Bank P.________ vom 31. März 2000, dass die vom Stiftungsrat eingeschlagene Strategie durchaus vertretbar gewesen sei, zumal die anerkannten Anlagespezialisten gar eine Erhöhung des Aktienanteils vorgeschlagen hätten.</w:t>
      </w:r>
    </w:p>
    <w:p>
      <w:r>
        <w:rPr>
          <w:b/>
        </w:rPr>
        <w:t>E. 6.1.2</w:t>
      </w:r>
    </w:p>
    <w:p>
      <w:r>
        <w:t>Die Beschwerdeführerin rügt im Wesentlichen eine offensichtlich unrichtige bzw. auf Rechtsverletzung beruhende Sachverhaltsfeststellung, eine Verletzung von Bundesrecht ( Art. 71 Abs. 1 BVG und Art. 50 Abs. 1 BVV 2 [in der bis 31. März 2000 geltenden Fassung]) sowie eine willkürliche Beweiswürdigung. Die Vorinstanz habe bei der Prüfung der Zulässigkeit der Anlagestrategie den Aspekt der Risikofähigkeit vollkommen ausser Acht gelassen. Für die von der G.________ gewählte Strategie wären entsprechende Schwankungsreserven notwendig gewesen, über welche die Stiftung zu keinem Zeitpunkt verfügt habe und mit welchen sie aufgrund des Wachstums auch für die nahe Zukunft nicht habe rechnen dürfen. Entgegen der Vorinstanz beurteile sich die Zulässigkeit der Anlagestrategie nicht danach, ob die erwartete Zielrendite nicht völlig unrealistisch sei, sondern ob auch negative Schwankungen aufgefangen werden könnten. Dem vorinstanzlichen Schluss, mit einer aktiven Anlagestrategie sei nicht automatisch ein höheres Risiko verbunden, könne unter Vorbehalten gefolgt werden. Daraus könne indes nicht gefolgert werden, die von der G.________ verfolgte Strategie habe kein höheres Risiko beinhaltet. Für eine Begrenzung des Risikos sei erforderlich, dass dem Vermögensverwalter klare Vorgaben (relevanter Vergleichsindex, maximale Abweichung von diesem [tracking error]) gemacht würden, was bereits damals üblich gewesen sei. Die sehr weiten taktischen Bandbreiten bei den Aktien (Aktienanlagen von 20-40 %) und die fehlenden Vorgaben zur Risikobeschränkung seien vom kantonalen Gericht nicht berücksichtigt worden. Offensichtlich unrichtig sei die - der Beurteilung der Anlageexpertin K.________ widersprechende - Annahme, aus der Abweichung von gängigen Marktindices könne kein höheres Anlagerisiko abgeleitet werden, gebe die maximal mögliche Abweichung von einem Vergleichsindex sehr wohl die (möglichen) zusätzlichen Risiken wieder. Sodann habe sich das kantonale Gericht auf die Feststellung beschränkt, die vorgegebene Asset Allocation sei nicht entscheidend verändert worden, ohne zu berücksichtigen, dass der effektive Anteil der Aktieninvestitionen vom 30. Juni 1999 bis Ende 2000 von 18.86 % auf 32.85 % erhöht worden sei, was eine wesentliche Veränderung der Risikosituation darstelle. Nicht berücksichtigt habe die Vorinstanz auch die starke Übergewichtung von volatilen Nebenwerten. Was die von der Vorinstanz erwähnten Zahlen betreffe, so habe die G.________ Ende 2000 - und damit vor den schwierigen Börsenjahren 2001 und 2002 - einen Deckungsgrad von nur 101 % aufgewiesen bei einem überdurchschnittlichen Aktienanteil von 33.9 %, was ihrer Risikofähigkeit nicht entsprochen habe. Indem die Vorinstanz aus der Expertise der Treuhand I.________ den Schluss auf eine der Risikofähigkeit angepasste Anlagestrategie schliesse, verfalle sie in willkürliche Beweiswürdigung.</w:t>
      </w:r>
    </w:p>
    <w:p>
      <w:r>
        <w:rPr>
          <w:b/>
        </w:rPr>
        <w:t>E. 6.1.3</w:t>
      </w:r>
    </w:p>
    <w:p>
      <w:r>
        <w:t>Wie die Vorinstanz zutreffend wiedergegeben hat, konstatierte die Treuhand I.________ in ihrer zuhanden der kantonalen Aufsichtsbehörde erstellten Expertise vom 24. März 1999, die G.________ verfüge nicht über genügend Schwankungsreserven, womit eine "tiefe Risikofähigkeit" vorliege. Daher dränge sich eine "relativ konservative Anlagestrategie" auf, welche im Widerspruch zur benötigten hohen Rendite von über 7 % stehe. Weil die Sicherheit in der Aufbauphase vorrangig sei, sei eine risikoarme Anlagestrategie sicherzustellen. Mit dieser von den Experten aufgezeigten Problematik der eingeschränkten Risikofähigkeit der G.________ hat sich die Vorinstanz - wie die Beschwerdeführerin zu Recht moniert - in der Folge nicht hinreichend a useinandergesetzt. Zunächst ging die Vorinstanz, soweit sie die Frage nach einer risikogerechten Anlagestrategie danach beurteilte, ob die Sollrendite von 7 % theoretisch erzielbar gewesen wäre, von einem unzutreffenden Verständnis der Risikofähigkeit aus: Die Risikofähigkeit ist die Fähigkeit, erfahrungsgemäss zu erwartende marktbedingte Schwankungen des Gesamtvermögens auszugleichen und über genügend liquide bzw. liquidierbare Mittel zu verfügen, um laufende und künftige Verbindlichkeiten (z.B. Rentenzahlungen, Freizügigkeitsleistungen) erfüllen zu können. Risikofähigkeit und Sicherheit sind korrespondierende Begriffe. Zur Beurteilung der Risikofähigkeit ist weder auf einzelne Anlagen noch auf die Verpflichtungen gegenüber den einzelnen Destinatären sondern auf die Gesamtsituation abzustellen, wie sie beispielsweise im Deckungsgrad einer Vorsorgeeinrichtung zum Ausdruck kommt (Mitteilungen des BSV über die berufliche Vorsorge Nr. 50 vom 8. April 2000 S. 6 zu Art. 50 Abs. 2 BV V 2; vgl. auch MARTIN TH. MARIA EISENRING, Die Verantwortlichkeit für Vermögensanlagen von Vorsorgeeinrichtungen, 1999, S. 78). Alsdann hat die Vorinstanz die Schwankungsreserven (in absoluten Zahlen) als wesentliches Element der Risikofähigkeit zwar thematisiert, doch ohne diese in Relation zum Aktienengagement und zu weiteren Kennzahlen der G.________ zu setzen. Indem die Vorinstanz in tatbeständlicher Hinsicht jeweils nur einzelne der für die Beurteilung der Risikofähigkeit relevanten Parameter (Deckungsgrad, Reserven für Wertschwankungen, Perspektiven für die Entwicklung des Versichertenbestandes und der Verbindlichkeiten; vgl. erwähnte Mitteilungen des BSV Nr. 50 S. 7 zu Art. 50 Abs. 2) als massgeblich erachtet hat, ohne der Gesamtsituation Rechnung zu tragen, hat sie den rechtserheblichen Sachverhalt unvollständig und damit offensichtlich unrichtig festgestellt. Deshalb kann das Bundesgericht den Sachverhalt ergänzen bzw. berichti gen (E. 2.1 hievor; Urteil 9C_395/2009 vom 16. März 2010 E. 2.4).</w:t>
      </w:r>
    </w:p>
    <w:p>
      <w:r>
        <w:rPr>
          <w:b/>
        </w:rPr>
        <w:t>E. 6.1.4</w:t>
      </w:r>
    </w:p>
    <w:p>
      <w:r>
        <w:t>Wie den Jahresrechnungen der G.________ entnommen werden kann, wies die Stiftung per 31. Dezember 1999 - in welchem Rechnungsjahr ein positives Ergebnis verzeichnet werden konnte - einen Deckungsgrad von 105 % (zu Marktwerten) bzw. 100 % (zu Netto-Buchwerten) auf. Die Schwankungsreserven beliefen sich auf total Fr. 1'653'360.- (ca. 4.7 % der Gesamtanlagen von Fr. 35.9 Mio.), diejenigen für Aktien auf Fr. 740'000.- oder 13.07 % des Marktwerts der Aktienanlagen (Fr. 5'662'019.-) sowie jene für Anlagefonds (Aktien Ausland) auf Fr. 250'000.- oder 8.95 % des Marktwerts (Fr. 2'792'202.-). Der Aktienanteil (Schweiz und Ausland zusammen) betrug 23.2 %. Die G.________ zählte 1070 aktive Versicherte (gegenüber 454 per 31. Dezember 1998). Nach einem Verlustergebnis für das Jahr 2000 bildete sich der Deckungsgrad per 31. Dezember 2000 auf 101.3 % (zu Marktwerten) bzw. rund 100 % (zu Netto-Buchwerten) zurück. Infolge Teilauflösung von Schwankungsreserven belief sich das Total noch auf Fr. 674'160.- (rund 1.1 % der Gesamtanlagen von ca. Fr. 61.4 Mio.), die Reserven für d ie Aktien auf Fr. 450'000.- bzw. 2.81 % des Marktwerts der Aktienanlagen (Fr. 16'003'212.-) sowie jene für Anlagefonds auf Fr. 100'000.- oder 1.76 % des Marktwerts (Fr. 5'682'849.-). Der Aktienanteil (Schweiz und Ausland zusammen) betrug 33.9 %. Die Zahl der aktiven Versicherten war auf 1951 angestiegen. Nach einem verlustreichen Jahr 2001 fiel der Deckungsgrad per 31. Dezember 2001 auf 81.85 % (zu Buchwerten). Die Schwankungsreserven sanken auf total Fr. 131'233.- (rund 0.2 % der Gesamtanlagen von Fr. 54.8 Mio.). Reserven für Aktien oder Anlagefonds wurden keine mehr ausgewiesen. Der Aktienanteil (Schweiz und Ausland zusammen) betrug 4.0 %. Die Zahl der aktiven Versicherten ging mit 1934 leicht zurück.</w:t>
      </w:r>
    </w:p>
    <w:p>
      <w:r>
        <w:rPr>
          <w:b/>
        </w:rPr>
        <w:t>E. 6.1.5</w:t>
      </w:r>
    </w:p>
    <w:p>
      <w:r>
        <w:t>Mit Blick auf die vorstehend wiedergegebenen Kennzahlen erhellt, dass die G.________ Ende 1999, auch wenn sich die finanzielle Lage im Vergleich zum Gutachten der Treuhand I.________ vom 24. März 1999 verbessert hatte, mit einem Deckungsgrad von 105 % (zu Marktwerten) bzw. 100 % (zu Netto-Buchwerten) noch über keine komfortablen Reserven verfügte. In Bezug auf die Perspektiven für die Entwicklung des Versichertenbestandes imponiert, dass die G.________ extrem stark wuchs, hatte sich die Anzahl der aktiven Versicherten im Laufe eines Jahres doch mehr als verdoppelt (von 454 per Ende 1998 auf 1070 per Ende 1999). Dies musste insofern als gewichtiger Risikofaktor berücksichtigt werden, als Neueintretende einen Deckungsgrad von maximal 100 % mitbrachten, was bei einem starken Wachstum zu einer erheblichen "Verwässerung" des Deckungsgrades führt und damit die Bildung von Schwankungsreserven erschwert (vgl. C ARL HELBLING, Personalvorsorge und BVG [nachfolgend: Personalvorsorge], 7. Aufl. 2000, S. 504). Anlageseitig war die G.________ - entsprechend ihrer (offenbar implizite genehmigten) Asset Allocation vom 20. August 1999 - mit einem effektiven Aktienanteil (Schweiz und Ausland zusammen) von 23 % (Fr. 8.4 Mio. zu Marktwerten) bereits relativ stark auf Aktien ausgerichtet. Dies muss mit Blick auf die für Aktienengagements geäufneten Schwankungsreserven von knapp Fr. 1 Mio., das rasante Wachstum des Versichertenbestandes, die fixen Verpflichtungen auf der Passivseite (garantierte Verzinsung von 5 %) sowie die damaligen Grundsätze in der Vermögensanlage als grenzwertig hoch bezeichnet werden: Im hier massgebenden Zeitraum war in der herrschenden Leh re unbestritten, d ass Anlagen in risikoreiche bzw. volatile Anlagen wie Aktien (vgl. ERNST RÄTZER, Anlagepolitik, Portefeuille-Management und Performance von Vorsorgeeinrichtungen, in: Hans Schmid [Hrsg.], Die berufliche Vorsorge in der Praxis, 1989, S. 66; EISENRING, a.a.O., S. 134),erst dann zulässig seien, wenn namhafte Wertschwankungsreserven gebildet worden seien. Im Sinne einer von Verwaltern und Experten vertretenen "goldenen Grundregel" wurde dafürgehalten, dass Aktienanlagen nur so weit zu tätigen seien, als freie Mittel "im Umfang von mindestens etwa einem Drittel" des gesamten Aktienengagements v orhanden seien (Mitteilungen des BSV über die berufliche Vorsorge Nr. 8vom 30. März 1988Rz. 48 S. 10; EISENRING, a.a.O., S. 135; noch restriktiver: ERNST RÄTZER, a.a.O., S. 63-64, gemäss welchem Aktienanlagen erst zulässig seien, wenn die Reserven mögliche Rückschläge von 30-40 % auffangen könnten; weniger weit gehend: STUDER/CHRISTEN, Die Bemessung des Wertschwankungsrisikos einer Vorsorgeeinrichtung, in: Der Schweizer Treuhänder 2000, S. 499, wonach sich als Faustregel Rückstellungssätze für Aktien zwischen 12 und 20 Prozent des Marktwertes etabliert hätten; ferner CARL HELBLING, Personalvorsorge, S. 269, welcher je nach Struktur der Aktiven und der Risikofähigkeit der Vorsorgeeinrichtung Schwankungsreserven von 10-20 % der [gesamten] Aktiven als angemessen bezeichnet). Das Anlagereglement der G.________ sah Schwankungsreserven für Aktien von bis 20 % des Kurswerts der Aktien vor, welche jedoch zu keiner Zeit vollständig geäufnet waren. Mithin hätte für den Stiftungsrat, welcher sicherstellen muss, dass die Anlagestruktur jederzeit der Risikofähigkeit der Vorsorgeeinrichtung entspricht (TRUNIGER/ZEITER, Der Anlageentscheid - die Verantwortlichkeit des Stiftungsrates, SZS 2004 S. 27 Fn. 7; vgl. auch EISENRING, a.a.O., S. 199; DOMENICO GULLO, Die Verantwortlichkeit des Stiftungsrats in der Vorsorgeeinrichtung und die Delegation von Aufgaben, SZS 2001 S. 51; HANS WIRZ, die Risikofähigkeit einer Pensionskasse, Schweizer Personalvorsorge [SPV] 4/1996 S. 221) bzw. dass die Vorsorgeeinrichtung die übernommenen Verpflichtungen jederzeit erfüllen kann ( Art. 65 Abs. 1 BVG : vgl. dazu C ARL HELBLING, Personalvorsorge, S. 503; EISENRING, a.a.O., S. 68 und S. 133), bereits 1999 Anlass bestanden, die Asset Allocation bzw. die Reservesituation (sowie die Passivseite) kritisch zu überprüfen. Dies umso mehr, als der Experte der Treuhand I.________ namentlich auf die ungenügenden Schwankungsreserven und die Notwendigkeit einer Überprüfung der Anlagestrategie hingewiesen hatte. Im Laufe des Jahres 2000 erhöhte die G.________ ihre Aktienengagements, worauf die Beschwerdeführerin zu Recht hinweist, markant, und zwar sowohl in masslicher Hinsicht - von Fr. 8.4 Mio. per Ende 1999 auf rund Fr. 21.7 Mio. per Ende 2000 - als auch in prozentualer Hinsicht bezogen auf die gesamten Anlagen (von 23.2 % auf 33.9 %). Im Falle einer Erhöhung des Aktienbestandes gehört es zur Pflicht der Pensionskassenverantwortlichen - hier des Stiftungsrats, welcher gemäss Ziff. 1 letzter Punkt des Anlagereglements über die Bildung von Reserven entscheidet -, unbedingt darauf zu achten, dass die nötigen Schwankungsreserven vorhanden sind (vgl. EISENRING, a.a.O., S. 134). In concreto hat der Stiftungsrat - obschon die Reservesituation bereits per Ende 1999 als grenzwertig bezeichnet werden muss - nicht dafür gesorgt, dass dem massiven Ausbau der Aktienengagements eine entsprechende Erhöhung der Schwankungsreserven für Aktien vorausging. Dies hat - nebst einer Teilauflösung aller Schwankungsreserven wegen einem Aufwandüberschuss (Verlust) - dazu geführt, dass Ende 2000 für Aktienanlagen, welche mit 33.9 % gut einen Drittel der gesamten Anlagen der Stiftung ausmachten, lediglich noch Schwankungsreserven von ca. 2.6 % zur Verfügung standen (bzw. von 3.1 %, sofern die Schwankungsreserven sämtlicher Anlagekategorien berücksichtigt würden). Diese für die Aktienanlagen reservierten Schwankungsreserven müssen im Lichte der hiervor wiedergegebenen Anlagegrundsätze als klar unzureichend bezeichnet werden. Dies selbst dann, wenn die im selben Jahr erfolgte Teilauflösung der Schwankungsreserven weggedacht würde (diesfalls wären Schwankungsreserven von knapp 4.6 % zur Verfügung gestanden). Dass die geäufneten Reserven in keiner Weise mit der im Verlaufe des Jahres 2000 immer stärker auf Aktien gewichteten Vermögensallokation der G.________ korrelierten, belegen auch die Berechnungstabellen zur Bestimmung der Kursschwankungsreserven per 31. Dezember 2000, welche die Kontrollstelle dem Stiftungsrat am 14. März 2001 zukommen liess. Gemäss diesen Tabellen wurden die notwendigen Kursschwankungsreserven - bei einem Sicherheitsniveau von 95 % und einer Sollrendite von 6.5 % - auf 15.1 % der Aktiven der G.________ resp. auf Fr. 5.7 Mio. beziffert (wobei zu berücksichtigen ist, dass - infolge Ausklammerung der Hypotheken und Immobilien Ausland - von Aktiven von [lediglich] Fr. 37.7 Mio. ausgegangen wurde). Abermals bestätigt wird das Missverhältnis zwischen Anlagestrategie und Schwankungsreserven durch die Expertise der K.________ vom 3. September 2001. In dieser errechneten die Anlageexperten, dass für die (lediglich leicht veränderte) Anlagestrategie der G.________ - bei einem Sicherheitsniveau von 97.5 % - Schwankungsreserven von 17.4 % des gebundenen Vorsorgekapitals notwendig wären. Damit ist entgegen der Vorinstanz erstellt, dass die Stiftungsräte das Gebot der Sicherheit der Anlagen ( Art. 71 Abs. 1 BVG i.V.m. Art. 50 BVV 2 ; E. 5 hiervor) und die Pflicht zur Führung der Vorsorgeeinrichtung im Bereich der Vermögensanlage ( Art. 49a BVV 2 ) im Laufe des Geschäftsjahres 2000verletzten, indem sie weder für die notwendigen Schwankungsreserven für Aktienanlagen besorgt waren noch die Anlagestrategie hin zu weniger volatilen Anlagen abänderten (EISENRING, a.a.O., S. 71 ff. und S. 135). Bereits angesichts des ungebremst starken Wachstums der Stiftung (E. 6.1.5 erster Absatz) sowie der hohen Verpflichtungen auf der Passivseite - beides behinderte die Reservebildung in nachhaltiger Weise - durfte ein sorgfältig handelnder Stiftungsrat nicht automatisch damit rechnen, dass die für die eingeschlagene Strategie notwendigen Reserven in den Folgejahren geäufnet werden könnten. Aufwärtsphasen an der Börse wechseln sich, auch wenn sie sich über Jahre erstrecken, immer wieder mit Abwärtsphasen ab (vgl. BGE 138 V 366 E. 5.2 S. 371 f.). Das Staatssekretariat für Wirtschaft (SECO) wies Ende 1999 auf das Risiko einer "harten Landung" der Konjunktur in den Vereinigten Staaten und auf einen möglichen Aktienkurssturz - ein solcher konnte jederzeit auf Europa überschwappen - hin (Pressemitteilung zur Schweizerischen Konjunktur im Jahre 1999 und Vorausschau auf 2000; abrufbar unter www.admin.ch). Demnach hätten sich im Jahr 2000 Änderungen in der Anlagestrategie (bspw. eine Reduktion der Aktienquote hin zu einer risikogerechten Grösse) geradezu gebieterisch aufgedrängt (vgl. HANS WIRZ, a.a.O., S. 220; vgl. auch CHRISTOPH AUCKENTHALER, Eine gute Strategie allein reicht nicht, in: Wie manage ich eine Pensionskasse?, Publikation der Schweizer Versicherung, 1996, S. 60 i.f.); Anlass dazu gab spätestens das E-Mail der Kontrollstelle an den Stiftungsrat vom 10. August 2000, in welchem die "sehr geringen" Reserven als Schwäche der Stiftung bezeichnet wurden.</w:t>
      </w:r>
    </w:p>
    <w:p>
      <w:r>
        <w:rPr>
          <w:b/>
        </w:rPr>
        <w:t>E. 6.1.6</w:t>
      </w:r>
    </w:p>
    <w:p>
      <w:r>
        <w:t>Was die ab 1. Juli 1999 - mit der Mandatierung von der J.________ AG bzw. D.________ - verfolgte aktive Anlagestrategie im Aktienbereich betrifft, kann der Vorinstanz insoweit gefolgt werden, als ein "aktives Portfolio-Management" gemäss den Richtlinien für den Vermögensverwalter der G.________ vom 5. Juni 1998 als Teil einer von drei Anlagekategorien ("1. Blue Chips oder Index, 2. Special Situations, 3. Trends") explizit erlaubt war. Ergänzend festzustellen ist in diesem Zusammenhang aber, dass die Gewichtung dieser drei Kategorien in keiner Weise vorgegeben bzw. dem Vermögensverwalter anheimgestellt wurde. Ferner enthielten weder das Anlagereglement noch dessen zwei Anhänge eine nähere Umschreibung des aktiven Anlagestils, einen Vergleichsindex (Benchmark) für in- und ausländische Aktien oder maximale Toleranzgrenzen des aktiven Managements. Wie die Vorinstanz des Weiteren zutreffend dargelegt hat, zeichnet sich eine aktive Anlagestrategie dadurch aus, dass Titelauswahl und -gewichtung von einem Vergleichsindex abweichen mit dem Ziel, die Performance dieses Vergleichsindexes zu übertreffen. Dabei nehmen die Chancen bzw. Risiken, die Rendite- und Risikoeigenschaften der Vergleichsgrösse zu übertreffen bzw. zu verfehlen, mit dem Aktivitätsgrad des Vermögensverwalters zu (vgl. EISENRING, a.a.O., S. 82 f.; AMMAN/STREBEL, Gut organisiert ist halb finanziert, in: Wie manage ich eine Pensionskasse?, Publikation der Schweizer Versicherung, 1996, S. 6). Zutreffend ist ebenfalls, dass die gesetzlichen Anlagevorschriften keine passive Anlagestrategie vorschreiben. Damit hängt der Entscheid betreffend aktiver oder passiver Verwaltung von der Risikobereitschaft der Entscheidungsträger ab bzw. ob diese die Option auf Mehrertrag wollen oder ob das Sicherheitsdenken überwiegt. Im Falle des aktiven Managements müssen die verantwortlichen Gremien jedoch fähig sein, auch Phasen mit unterdurchschnittlicher Performance zu verkraften (vgl. JÜRG SCHILLER, Grosse Vielfalt bei den Strategien, Schweizer Personalvorsorge [SPV] 10/1996 S. 566). Soweit die Vorinstanz zum Schluss gelangte, es sei nicht ersichtlich, inwiefern das Anlagerisiko der G.________ durch die aktive Vermögensverwaltung in zu beanstandender Weise erhöht worden sei, weil mit der Wahl einer aktiven Vermögensverwaltungsstrategie nicht ausnahmslos eine Erhöhung des Anlagerisikos verbunden sei, kann dem nicht gefolgt werden. Diese Folgerung stützt sich ausschliesslich - losgelöst vom konkreten Sachverhalt - auf die allgemeine Lebenserfahrung und kann daher vom Bundesgericht als Rechtsfrage frei überprüft werden. Sowohl bei einer passiven als auch einer aktiven Vermögensverwaltung entsprach es - wie die Beschwerdeführerin zu Recht einwendet - bereits damaligem Standard, jeder Anlagekategorie einen Vergleichs- bzw. Referenzindex vorzugeben (EISENRING, a.a.O., S. 82 f.; AMMAN/STREBEL, a.a.O., S. 5-6; URS SCHAFFNER, Führung von Pensionskassen, Zürich 2003, S. 99 f.). Relativ zum Index war sodann eine Risikokontrolle der verwalteten Vermögen einzuführen. Der erwartete Abweichungsfehler war somit auch bei der aktiven Vermögensverwaltung Entscheidkriterium, welches das Ausmass und die Aggressivität des aktiven Managements beschrieb. Folglich wurde dafürgehalten, in den Anlagerichtlinien nicht nur den aktiven Anlagestil zu umschreiben, sondern auch maximale Toleranzgrenzen für das aktive Management anzugeben und konkret zu beschreiben (vgl. SCHILLER, a.a.O., S. 566, wonach der erwartete Abweichungsfehler, welcher den Versuch illustriere, negative Performance-Überraschungen möglichst zu limitieren, der meisten aktiven Manager bei ca. 2 bis 3 % liege; vgl. auch SCHAFFNER, a.a.O., S. 100). In concreto hat der Stiftungsrat in den Richtlinien für den Vermögensverwalter - wie bereits dargelegt (E. 6.1.6 Absatz 1) - weder für in- noch ausländische Aktien einen Referenzindex vorgegeben und entsprechend auch keine maximal zulässige Abweichung von diesem. Mithin setzte der Stiftungsrat dem Ausmass und der Aggressivität des aktiven Managements - da jegliche Vorgaben für das aktive Management fehlten und dieses zudem innerhalb der zulässigen drei Anlagekategorien auch masslich nicht begrenzt war - keinerlei Grenzen. Mit diesem Vorgehen wurde Tür und Tor für eine markante Erhöhung des 1999 ohnehin bereits grenzwertig hohen bzw. im Verlauf des Jahres 2000 klar zu hohen Anlagerisikos (E. 6.1.5 hiervor) geschaffen. Dies muss sich der Stiftungsrat als Verletzung seiner Führungspflicht ( Art. 49a BVV 2 ) entgegenhalten lassen. Dass die Vermögensverwalterin im Rahmen des ihr gebotenen Freiraumes denn auch tatsächlich ein sehr aktives Management betrieb, belegen die Ausführungen der Anlageexperten der K.________. Diese hielten im zuhanden der G.________ erstellten Gutachten vom 3. September 2001 fest, das Portfolio der Schweizer Aktien weise einen hohen Anteil von Small-Caps auf und bilde den schweizerischen Aktienmarkt nicht sinnvoll ab. Mithin würden "hohe Risiken relativ zu den Marktindices (SPI/SMI) " eingegangen. Das Portfolio der Aktien Ausland sei stark auf Aktien aus dem Telekom- und Technologiebereich ausgerichtet und weise Rendite- und Risikoeigenschaften auf, die "stark von einem globalen Aktienindex verschieden" seien. Im Gutachten derselben Experten vom 7. November 2001 wurde die Aussage, die Titelauswahl und Gewichtung habe stark von gängigen Marktindices abgewichen, womit das Portfolio als "sehr aktiv" bezeichnet werden müsse bzw. "extrem hohe aktive Risiken" aufgewiesen habe, mit konkreten Beispielen untermauert bzw. verdeutlicht. Namentlich zeigten die Experten auf, die Gewichtung der drei Aktien Commcept Trust, Schweiter und Xstrata habe per 31. Dezember 2000 insgesamt 24 % der Aktien Schweiz ausgemacht, obschon der Anteil dieser Aktien am SPI - soweit darin überhaupt enthalten - äusserst gering war (Gewichtung von Schweiter bzw. Xstrata: 0.03 bzw. 0.16). Indem die Vorinstanz diesen Aussagen der K.________ den Beweiswert aberkannte, weil die Gutachter in die Vorgänge der Umsetzung der Anlagestrategieänderung gemäss Stiftungsratssitzung vom 17. September 2001 involviert und sie demnach nicht unabhängig gewesen seien, verletzt sie Bundesrecht: Die hier interessierende Beurteilung der Risiken des Aktien-Portfolios war bereits im (ersten) Gutachten der K.________ vom 3. September 2001 abgegeben worden, mithin bevor die Strategieänderung bzw. deren Umsetzung unter Mitwirkung der K.________ überhaupt zur Diskussion stand. Entgegen der Vorinstanz trifft ferner nicht zu, die Experten der K.________ hätten ihre Kritik im Wesentlichen mit der von ihnen bevorzugten passiven Anlagestrategie begründet. Vielmehr gründete die Kritik der Anlageexperten auf dem Umstand, dass das Aktienportfolio der G.________ - bei unzureichenden Schwankungsreserven - sehr hohe Risiken im Vergleich zu gängigen Indices aufwies. Gestützt auf die beiden Expertisen der K.________ ist mit der Beschwerdeführerin erwiesen, dass die Titelauswahl und -gewichtung sowohl von in- als auch von ausländischen Aktien äusserst stark von gängigen Indices abwich und das Portfolio der G.________ dadurch ein sehr hohes aktives Risiko aufwies, mit anderen Worten die Risiken (und Chancen) sehr gross waren, die Rendite- und Risikoeigenschaften der Marktindices zu verfehlen (vgl. EISENRING, a.a.O., S. 83; AMMAN/STREBEL, a.a.O., S. 6). Ein derart aktives Portfolio muss unter den bereits beschriebenen Umständen (E. 6.1.5 hiervor) als problematisch bzw. spätestens im Verlauf des Jahres 2000 als mit Grundsatz der Sicherheit der Anlagen nicht mehr vereinbar bezeichnet werden. Hieran ändert auch der von der Vorinstanz erwähnte Strategievorschlag der Bank P.________ vom 31. März 2000 nichts. Indem die Vorinstanz daraus auf die Rechtmässigkeit der Anlagestrategie der G.________ schloss, hat sie die Beweise willkürlich gewürdigt. Bereits aus dem Begleitbrief der Bank P.________ vom 4. April 2000 ist ersichtlich, dass es sich bei der besagten Dokumentation nicht um eine Asset &amp; Liability-Analyse handelt (vgl. dazu AUCKENTHALER/ROTH, Konstruktive Kritik, in: Wie manage ich eine Pensionskasse?, Publikation der Schweizer Versicherung, 1996, S. 35 ff.; SCHAFFNER, a.a.O., S. 74 f.), sondern lediglich um eine Analyse einzelner Vermögenswerte. Entsprechend setzte sich die Bank P.________ nicht mit der hier zentralen Frage der Risikofähigkeit der G.________ auseinander, sondern operierte diesbezüglich mit rein fiktiven Annahmen. Insbesondere legte sie ihrem Vorschlag die Annahme zu Grunde, die Stiftung weise einen Deckungsgrad von 120 % auf. Soweit Vorinstanz und Beschwerdegegner die Rechtmässigkeit der Anlagestrategie mit der Einhaltung der vorgeschriebenen Bandbreiten (gemäss Reglement und BVV 2) gleichsetzen, gehen sie fehl. Anlagen im Rahmen der Grenzwerte der BVV 2 sind nicht per se zulässig, sondern nur insoweit, als sie den allgemeinen Sicherheitsanforderungen von Art. 71 BVG genügen (vgl. BGE 137 V 446 E. 6.3.3 S. 455 betreffend ungesicherte Anlagen beim Arbeitgeber). Mit anderen Worten kann die Risikofähigkeit einer Vorsorgeeinrichtung auch bei Einhaltung der gesetzlichen und reglementarischen Limiten (soweit Letztere nicht auf die Risikofähigkeit abgestimmt sind) überschritten werden (ISABELLE VETTER-SCHREIBER, Staatliche Haftung bei mangelhafter BVG-Aufsichtstätigkeit, 1995, S. 158 f.; HERMANN WALSER, Die Bedeutung der Anlagevorschriften für Personalvorsorgeeinrichtungen, Der Schweizer Treuhänder 3/96 S. 134; PETER HADORN, Spezielle Anlagebestimmungen sind nötig, Schweizer Personalvorsorge [SPV] 10/1996 S. 551; EISENRING, a.a.O., S. 58 i.f. und S. 85 erster Absatz; SCHAFFNER, a.a.O., S. 72; HANS-ULRICH STAUFFER, Berufliche Vorsorge, 2005, S. 581 Rz. 1529a).</w:t>
      </w:r>
    </w:p>
    <w:p>
      <w:r>
        <w:rPr>
          <w:b/>
        </w:rPr>
        <w:t>E. 6.2.1</w:t>
      </w:r>
    </w:p>
    <w:p>
      <w:r>
        <w:t>Weiter setzte sich die Vorinstanz mit dem Vorwurf auseinander, mit dem am 31. August 2001 erfolgten Kauf von Anteilen des Fonds X.________ im Umfang von Fr. 12 Mio. bzw. ca. 19 % des Stiftungsvermögens (per 31. Dezember 2000) habe der Stiftungsrat die Grundsätze der Diversifikation und der Sicherheit verletzt. Sie stellte fest, der besagte Fonds sei aktiv gemanagt worden, indem unterbewertete Wertschriften gekauft und gehalten würden, bis ihr innerer Wert erreicht sei. Aus dem Umstand, dass bei einer solchen Anlagephilosophie die Wertentwicklung spürbar von der Wertentwicklung des Gesamtmarktes abweichen könne, könne nicht auf einen "spekulativen" Charakter der Anlage geschlossen werden. Ferner ergebe sich aus dem Quartalsbericht der Fondsverwaltung über den Zeitraum von 1. Januar bis 31. März 2001, dass das Fondsvermögen breit diversifiziert angelegt gewesen sei. Von einer riskanten Anlagestrategie könne, auch vor dem Hintergrund, wie sich der Kurs der Fondsanteile später entwickelt habe, keine Rede sein. Weiter sei der Erwerb der Fondsanteile nicht zur Unzeit erfolgt - die von der Stiftung in Auftrag gegebene Expertise der K.________ zur finanziellen Situation der G.________ wurde drei Tage nach dem Kauf der Anteile (am 3. September 2001) erstattet -, vielmehr wäre das Nichtanlegen von liquiden Mitteln trotz Anzeichen einer Stabilisierung der Märkte als Pflichtwidrigkeit zu werten gewesen.</w:t>
      </w:r>
    </w:p>
    <w:p>
      <w:r>
        <w:rPr>
          <w:b/>
        </w:rPr>
        <w:t>E. 6.2.2</w:t>
      </w:r>
    </w:p>
    <w:p>
      <w:r>
        <w:t>Die Beschwerdeführerin rügt willkürliche Beweiswürdigung und eine Verletzung von Art. 71 Abs. 1 BVG und macht im Wesentlichen geltend, es gehe nicht um die Frage, ob der Fonds einen spekulativen Charakter aufgewiesen habe, sondern ob die G.________ Mitte 2001 noch über die Risikofähigkeit für diese Investition verfügt habe. Diese Frage werde von der Vorinstanz gar nicht behandelt, sei aber entscheidend für die Beurteilung der Zulässigkeit dieser Investition. Angesichts der Risiken im Zusammenhang mit der Marktabweichung und der bereits eingetretenen Unterdeckung der G.________ hätte der Stiftungsrat nicht in diesen Fonds investieren dürfen.</w:t>
      </w:r>
    </w:p>
    <w:p>
      <w:r>
        <w:rPr>
          <w:b/>
        </w:rPr>
        <w:t>E. 6.2.3</w:t>
      </w:r>
    </w:p>
    <w:p>
      <w:r>
        <w:t>An der Sitzung der Geschäftsleitung vom 15. Juni 2001 - an welcher der Einstieg in den Fonds X.________ und gleichzeitig die Durchführung eines Audits über die Anlagen der G.________ durch die K.________ beschlossen wurde - wurde ein Deckungsgrad von 97.66 % per Ende Mai 2001 rapportiert. Mithin wies die G.________ - wie die Beschwerdeführerin zu Recht geltend macht - bereits zum Zeitpunkt des Investitionsentscheids eine Unterdeckung auf. Mit dem Einstieg in den Fonds wartete die Vermögensverwalterin wegen fallender Aktienkurse indes noch zu. Am 10. August 2001 - der Deckungsgrad der G.________ war zwischenzeitlich auf 92.1 % gesunken - erteilte die Geschäftsleitung D.________ ausdrücklich weiterhin freie Hand zum Einstieg in den Fonds. Dies zu einem Zeitpunkt, in welchem klar sein musste, dass risikoreiche Anlagen möglichst vermieden werden sollten (vgl. HANS-JÜRGEN WOLTER, Anlagestrategien von Vorsorgeeinrichtungen, Der Schweizer Treuhänder 9/96 S. 694). Ferner ist unstrittig, dass der besagte Fonds aktiv verwaltet wurde und aufgrund seiner Beschaffenheit - gemäss Prospekt des Fonds konzentrierte sich dieser auf relativ wenige Anlagen und konnte bis 33 % des Fondsvermögens in Wertschriften eines einzelnen Emittenten sowie in fundamental unterbewertete Obligationen notleidender Unternehmen investieren und im Rahmen von Arbitrage-Strategien Leerverkäufe tätigen - "spürbar" von der Wertentwicklung des Schweizer Aktienmarktes und anderer Aktienmärkte abweichen konnte. Dies bedeutet nichts anderes, als mit hohen Abweichungen relativ zu gängigen Indices gerechnet werden musste, mithin wesentlich höhere Risiken und höhere Chancen im Vergleich zu konservativen Indexprodukten bestanden. Soweit die Vorinstanz aus dem von ihr erwähnten Kursverlauf der Fondsanteile von Juli 1998 bis Januar 2013 einen gegenteiligen Schluss zog, unterlag sie dem sog. Ausgangseffekt bzw. outcome bias (vgl. MARK SCHWEIZER, Kognitive Täuschungen vor Gericht, 2005, S. 210 Rz. 624). Indem der Stiftungsrat die Anlage von rund einem Fünftel der gesamten Aktiven der Stiftung in einen Fonds beschloss, der im Vergleich zum allgemeinen Markt grosse Risiken aufweisen konnte, obschon die Stiftung angesichts ihrer bereits bedenklich hohen Unterdeckung (Deckungsgrad von 92 %) nicht mehr fähig war, zusätzlich zu den systematischen Marktrisiken hohe unsystematische Risiken zu tragen (zu den Begriffen: ERWIN HERI, Indexierte Produkte: Zunehmende Bedeutung für Pensionskassen, Schweizer Personalvorsorge [SPV] 5/1996 S. 307), hat er den Grundsatz der Sicherheit der Anlagen ( Art. 71 Abs. 1 BVG ) abermals verletzt. Der anderslautende Schluss der Vorinstanz ist bundesrechtswidrig. Sachverhaltswidrig ist überdies die Annahme, es hätten im Umfang des Engagements in den Fonds liquide Mittel bestanden, so dass das Nichtanlegen als Pflichtwidrigkeit zu werten gewesen wäre. Wie dem Protokoll des Stiftungsrats vom 15. Juni 2001 entnommen werden kann, wurde die Liquidation von einzelnen Aktienpositionen beschlossen, um überhaupt freie Mittel für den Einstieg in den Fonds zu erhalten. Mithin wurden nicht liquide Mittel investiert, sondern es fand eine Umschichtung von Aktien in den Fonds statt. Ob die Investition in den Fonds am 31. August 2001 - drei Tage bevor die Expertise der K.________ vom 3. September 2001 vorlag, welche Empfehlungen zum weiteren (Anlage-) Vorgehen enthielt - überdies zur Unzeit erfolgte, braucht nach dem Gesagten nicht mehr geprüft zu werden.</w:t>
      </w:r>
    </w:p>
    <w:p>
      <w:r>
        <w:rPr>
          <w:b/>
        </w:rPr>
        <w:t>E. 6.3.1</w:t>
      </w:r>
    </w:p>
    <w:p>
      <w:r>
        <w:t>Das kantonale Gericht setzte sich schliesslich mit dem am 16. November 2001 beschlossenen Sanierungskonzept des Stiftungsrats auseinander, welches als zentrale Massnahme vorsah, L.________ per 1. Dezember 2001 mit der Verwaltung der Aktienanlagen zu betrauen und daher eine durchschnittliche Aktienperformance von 15 % zu budgetieren. Es erwog, sowohl Dr. Q.________ von der K.________ als auch Rechtsanwalt M.________ hätten der Annahme einer jährlichen Aktienperformance von 15 % skeptisch gegenübergestanden. Sie hätten aber nicht festgehalten, die Erzielung einer Rendite von 15 % sei geradezu unmöglich bzw. nur unter Inkaufnahme gänzlich unvertretbarer Risiken möglich. In jener Zeit seien solche Renditen zwar nicht üblich gewesen, aber auch nicht derart aussergewöhnlich, dass der Schluss auf eine höchst spekulative Anlage zwingend gewesen wäre. Weiter sei nicht erstellt, dass es sich bei den von L.________ gehandelten Aktien um hochspekulative Anlagen gehandelt habe, die mangels Wertschwankungsreserven nicht hätten erworben werden dürfen. Bei einem regelbasierten Anlagesystem stehe das Prinzip der Sicherheit grundsätzlich im Vordergrund, weshalb der Einsatz eines solchen Systems nicht ohne Weiteres auf grosse Risiken schliessen lasse. Dass das von L.________ beschriebene Anlagesystem nicht funktioniert habe, habe man 2001 noch nicht gewusst. Bei dieser Sachlage sei nicht zu beanstanden, dass der Stiftungsrat den Aktienanteil nicht weiter reduziert und einen Betrag von rund Fr. 15.7 Mio. durch L.________ habe verwalten lassen. Verfehlt sei der Vorwurf, der Stiftungsrat habe seinen Entscheid überstürzt und ohne ausreichende Entscheidgrundlagen gefällt, zumal diverse Dokumente betreffend L.________ bzw. seine Unternehmen vorgelegen hätten. Zudem habe der Vertreter der Depotbank die Verwaltung des Aktienportefeuilles durch L.________ auch einer Stiftung in schlechter Finanzlage empfehlen können. Nicht entscheidend sei sodann, dass die schriftliche Verwaltungsvereinbarung bloss rudimentäre Angaben zum Inhalt des Mandats enthalten habe, sei doch bei der Besprechung anlässlich der Präsentation klar geworden, in welche Märkte der Vermögensverwalter investieren sollte. Damit treffe der Vorwurf nicht zu, die Stiftungsräte hätten dem Vermögensverwalter keine Instruktionen erteilt. Schliesslich habe der Stiftungsrat die Vermögensverwaltungstätigkeit von L.________ hinreichend überwacht, womit dem Stiftungsrat kein pflichtwidriges Verhalten vorgeworfen werden könne.</w:t>
      </w:r>
    </w:p>
    <w:p>
      <w:r>
        <w:rPr>
          <w:b/>
        </w:rPr>
        <w:t>E. 6.3.2</w:t>
      </w:r>
    </w:p>
    <w:p>
      <w:r>
        <w:t>Die Beschwerdeführerin rügt eine Verletzung von Art. 71 Abs. 1 BVG und wendet ein, die Stiftungsräte hätten bei einem Deckungsgrad von nur noch gut 80 % - womit der G.________ jegliche Risikofähigkeit gefehlt habe - die Zusammenarbeit mit L.________ beschlossen, der ihnen eine Rendite von 15 % unter Vermeidung von Verlusten versprochen habe. Die Vorinstanz habe dieses Investment unter der falschen Fragestellung geprüft, ob eine solche Rendite zur damaligen Zeit geradezu unmöglich gewesen sei, und wiederum nicht, ob die G.________ über die Risikofähigkeit für das Engagement verfügt habe. Die G.________ hätte 25 % ihres Vermögens nur dann einem Vermögensverwalter anvertrauen dürfen, wenn sie hätte abschätzen können, welche Risiken daraus resultierten und welche Absicherungen ihr geboten würden. Über genügend Informationen betreffend das Anlagesystem L.________ bzw. zur Sicherheit dieses Systems hätten die Stiftungsräte indes nicht verfügt, zumal die von der Vorinstanz erwähnten Unterlagen sich gar nicht auf das von der G.________ gewählte Produkt bezogen hätten. Belege für die Sicherheit wären umso notwendiger gewesen, als die Renditeversprechen sowie die Performanceangaben pro 2001, wonach eine Outerperformance von 27 % (Index Schweiz 20) bzw. von sogar 41 % (US Small Cap 200) erzielt worden sei, höchst unplausibel gewesen seien. Ungewürdigt geblieben sei der Umstand, dass trotz des angeblich so sicheren Systems weder L.________ noch die Depotbank eine Garantie für die Rückzahlung des Kapitals habe abgeben wollen. Die Depotbank habe ein geschäftliches Interesse am Engagement der G.________ bei L.________ gehabt, was den Beweiswert ihrer Auskunft geschmälert habe, abgesehen davon, dass der "Vertreter" der Depotbank diese Aussage als Privatperson gemacht habe. Ferner sei eine mündliche Absprache anlässlich einer Präsentation im Hinblick auf eine mögliche Beauftragung nicht als Vorgabe für den anschliessenden Vermögensverwaltungsauftrag geeignet.</w:t>
      </w:r>
    </w:p>
    <w:p>
      <w:r>
        <w:rPr>
          <w:b/>
        </w:rPr>
        <w:t>E. 6.3.3</w:t>
      </w:r>
    </w:p>
    <w:p>
      <w:r>
        <w:t>Beim Engagement bei L.________ geht es mit der Beschwerdeführerin und entgegen dem angefochtenen Entscheid nicht darum, ob dieser "hochspekulative Anlagen" getätigt hat oder ob die Erzielung einer Rendite von 15 % geradezu unmöglich war. Entscheidend ist wiederum einzig, ob das besagte Engagement im Umfang von einem Viertel des Stiftungsvermögens der de facto nicht mehr vorhandenen Risikofähigkeit der G.________ Stand Ende November 2001 entsprochen hat, als der Deckungsgrad auf ca. 80 % eingebrochen war und der Stiftungsrat an seiner Sitzung vom 8. November 2001 zum Schluss gelangt war, eine Liquidation der Stiftung sei "zwangsläufig der einzige Ausweg". Es ist unbestritten, dass der Stiftungsrat davon ausging und dies auch so budgetierte, L.________ (bzw. die Investments R.________) sei in der Lage, mit einem automatisierten Aktienhandelssystem eine jährliche Rendite von 15 % zu generieren. Weil seit jeher der Grundsatz gilt, dass mit höheren Renditen höhere Risiken einhergehen (vgl. EISENRING, a.a.O., S. 66; CARL HELBLING, Die Führung einer Pensionskasse als unternehmerische Aufgabe, Schweizer Personalvorsorge [SPV] 4/1996 S. 243; SCHAFFNER, a.a.O., S. 77), musste der Stiftungsrat grundsätzlich davon ausgehen, dass den hohen Renditeversprechen von L.________ auch entsprechend hohe Risiken gegenüberstanden. Dieser Zusammenhang war dem Stiftungsrat bewusst, hielt er im Protokoll zur Sitzung vom 8. November 2001 doch fest, im Kapitalmarkt herrsche allgemein die Meinung, dass höhere Ertragserwartungen automatisch mit höheren Risiken verbunden seien und dass allgemein als unrealistisch erachtet werde, Erträge aus Aktienanlagen im Rahmen von 15 % mit hoher Sicherheit erwirtschaften zu können. Bei dieser Ausgangslage (fehlende Risikofähigkeit der Stiftung, hohe Renditeversprechen, Handel mit Aktien) war der Stiftungsrat zu besonderer Sorgfalt bei der Abklärung der Risiken des Investments bei L.________ bzw. seinem Unternehmen verpflichtet. Anders als das kantonale Gericht anzunehmen scheint, darf sich ein sorgfältig handelnder Stiftungsrat nicht mit dem Versprechen begnügen, es bestehe ein technisch hochstehendes, voll automatisches Aktienhandelssystem, welches - bei überdurchschnittlich hohen Renditen - Risiken praktisch ausschliesse. Dies umso weniger, als der Anlageexperte der K.________, welcher bei der Präsentation von L.________ zugegen war, erstelltermassen "klare Bedenken" zu der in Aussicht gestellten Rendite, zum präsentierten System und zu den Risiken geäussert hatte. Kritisch zu den Erwartungen an das Anlagesystem äusserte sich ferner Rechtsanwalt M.________, welcher darauf hinwies, auch ein Stop-Loss System setze einen immer funktionierenden Handel voraus, was nicht gewährleistet sei. Substanzielle Antworten auf die Frage der Risiken bzw. der Sicherheiten des Anlagesystems lieferten auch die vom kantonalen Gericht erwähnten Dokumente nicht: Die von L.________ abgegebenen Präsentationsunterlagen über die Investments R.________, eine Kreditauskunft über die S.________ AG, ein Fragebogen der Association for Alternative Investments (AIMA) für eine Due Dilligence-Prüfung sowie ein Pressebericht über L.________ aus einem Online-Magazin waren von vornherein untauglich, um die abgegebenen Versprechen - insbesondere in puncto Sicherheit und Rendite - zu verifizieren oder zumindest zu plausibilisieren, enthielten sie hierzu doch keinerlei objektive, von unabhängiger Stelle geprüfte bzw. bestätigte Angaben (vgl. insbesondere den Haftungsausschluss des AIMA-Fragebogens, in welchem die AIMA ausdrücklich empfiehlt, die im Fragebogen gemachten Angaben zur Performance und zum Risikoprofil durch unabhängige Dritte verifizieren zu lassen). Solche Angaben enthielt auch das von T.________ stammende Empfehlungsschreiben vom 16. November 2011 nicht. Im Übrigen hatte dieser - wie die Beschwerdeführerin zutreffend bemerkt - als Mitarbeiter der Depotbank ein geschäftliches Interesse an der Investition der G.________ bei L.________. Soweit die F.________ AG auf eine Bestätigung der Treuhand U.________ AG vom 22. März 2002 verweist, um zu belegen, dass der Stiftungsrat dem System von L.________ vertrauen durfte, zielt dies ins Leere. Abgesehen davon, dass sich die besagte Bestätigung nicht auf das vom Stiftungsrat gewählte "Aktien-Handels-System long only", sondern auf den Handel mit Futures bezieht, wurde die Bestätigung zu einem Zeitpunkt erstellt, in welchem der Stiftungsrat den Vermögensverwaltungsauftrag längst erteilt hatte. Mithin ist festzuhalten, dass der Stiftungsrat über keinerlei Unterlagen oder Informationen verfügte, welche die Annahme rechtfertigen würden, das Aktienhandelssystem von L.________ garantiere eine derart hohe Sicherheit, dass er einen Viertel des Vermögens der finanziell schwer angeschlagenen Stiftung in dieses investieren dürfe. Mit der Erteilung des Vermögensverwaltungsmandats an die Investments R.________ nahm der Stiftungsrat nicht abschätzbare und damit für die G.________ nicht tragbare Risiken in Kauf. In dieses Bild passt im Übrigen der wenige Zeilen umfassende Vermögensverwaltungsauftrag vom 21. bzw. 23. November 2001. Dieser enthielt - nota bene bei einem zu investierenden Betrag von Fr. 15.7 Mio. - nicht die geringsten Vorgaben (Benchmark, tracking error), Richtlinien oder Restriktionen und erklärte weder die Bestimmungen des BVG noch das Anlagereglement der Stiftung und dessen Anhänge als Vertragsbestandteil, womit L.________ ein unbeschränkter Handlungsspielraum bei der Anlage der Aktien eingeräumt wurde. Nach dem Gesagten ist festzuhalten, dass der Stiftungsrat mit der Beauftragung der Investments R.________ bzw. von L.________ in grober Weise gegen das Gebot der Sicherheit der Anlagen ( Art. 71 Abs. 1 BVG ) sowie das (reglementarische) Verbot der Ertragssteigerung durch Inkaufnahme zusätzlicher Risiken (Anhang 2 des Anlagereglements) verstossen hat. Der angefochtene Entscheid ist auch in diesem Punkt bundesrechtswidrig.</w:t>
      </w:r>
    </w:p>
    <w:p>
      <w:r>
        <w:rPr>
          <w:b/>
        </w:rPr>
        <w:t>E. 6.4</w:t>
      </w:r>
    </w:p>
    <w:p>
      <w:r>
        <w:t>Auf die weiteren gegenüber dem Stiftungsrat erhobenen Vorwürfe - der Stiftungsrat habe Fehler bei der Auswahl, Instruktion und Überwachung der E.________ AG, von D.________ sowie von L.________ begangen, ferner habe der Stiftungsrat seine Treuepflicht verletzt - braucht nicht eingegangen zu werden, da sie für den Ausgang des Verfahrens nicht entscheidend sind.</w:t>
      </w:r>
    </w:p>
    <w:p>
      <w:r>
        <w:rPr>
          <w:b/>
        </w:rPr>
        <w:t>E. 6.5.1</w:t>
      </w:r>
    </w:p>
    <w:p>
      <w:r>
        <w:t>Die Vorinstanz hat die der Vermögensverwalterin E.________ AG vorgeworfenen Pflichtverletzungen im Zusammenhang mit der Annahme des Vermögensverwaltungsmandats, der Verwaltung des Stiftungsvermögens, dem Einsatz von Putoptionen sowie der Umschichtung von Aktienanlagen in indexnahe Produkte verneint. Zu letzterem Vorgang erwog das kantonale Gericht, es habe dem vom Experten der K.________ genehmigten Transaktionsplan entsprochen, dass der Kauf der Indexprodukte erst nach Ausführung der Verkaufsaufträge erteilt worden seien. Dem Experten sei daher bekannt gewesen, dass der Verkauf der bisher gehaltenen Aktienanlagen und der Kauf der Anlageprodukte gemäss Transaktionsplan nicht zeitgleich geplant gewesen sei. Da die Kaufsaufträge unmittelbar nach Bekanntwerden des Erlöses der Verkäufe erteilt worden seien, sei keine Absicht erkennbar, auf weiter sinkende Märkte zu spekulieren. Es stelle einen unglücklichen Zufall dar, dass die Verkaufsaufträge just im Zeitpunkt des Jahrestiefststands der Börse ausgeführt worden seien und die Börse sich bis zum Kauf der Indexprodukte wieder um 5-10 % erholt habe. Schliesslich hat die Vorinstanz eine Pflichtverletzung der Vermögensverwalterin (und von D.________) im Zusammenhang mit dem Verkauf der Anteile des Fonds X.________ bejaht mit der Begründung, D.________ hätte die Abwicklung dieser Transaktion besser planen müssen.</w:t>
      </w:r>
    </w:p>
    <w:p>
      <w:r>
        <w:rPr>
          <w:b/>
        </w:rPr>
        <w:t>E. 6.5.2</w:t>
      </w:r>
    </w:p>
    <w:p>
      <w:r>
        <w:t>Die Beschwerdeführerin verweist bezüglich ihrer Ansprüche gegenüber der Vermögensverwalterin zunächst pauschal auf die in der Klage gemachten Ausführungen, an welchen sie festhält. Indem sie nicht einmal ansatzweise auf die vorinstanzlichen Erwägungen eingeht und nicht aufzeigt, weshalb der angefochtene Entscheid Bundesrecht verletzen soll, erfüllt sie die Anforderungen an die Begründungspflicht gemäss Art. 42 Abs. 1 und 2 BGG in keiner Weise. Weiterungen zu diesem Punkt erübrigen sich. Betreffend die Umschichtung der Aktienanlagen rügt die Beschwerdeführerin eine offensichtlich unrichtige Sachverhaltsfeststellung, indem das Gericht davon ausging, der nicht zeitgleiche Verkauf und Kauf der Aktienanlagen bzw. indexnahen Produkten sei dem Experten der K.________ bekannt gewesen. Damit dringt sie nicht durch, zumal sie in der Beschwerdeschrift selbst einräumt, der zeitgleiche Kauf und Verkauf sei gar nie zur Diskussion gestanden. Weiter hält sie die Schlussfolgerung der Vorinstanz für willkürlich, es lägen keine Anhaltspunkte für das Eingehen von Marktwetten vor, zumal D.________ solche in der Klageantwort indirekt zugegeben habe. Es trifft zu, dass D.________ replicando angegeben hatte, im fraglichen Zeitpunkt sei von einem weiteren Abwärtstrend der Märkte ausgegangen worden. Diese Aussage lässt sich indes nicht nur als indirektes Eingeständnis für das Eingehen von Marktwetten - im Sinne eines gezielt geschaffenen zeitlichen Abstands zwischen Verkauf der bisherigen und Kauf der neuen Aktien - interpretieren. Genauso gut kann sie als Rechtfertigung dafür verstanden werden, dass bei der Planung der Transaktionen der möglichst zeitgleichen Umschichtung der Aktien nicht grösseres Gewicht beigemessen worden war. Daher ist der vorinstanzliche Schluss, Anhaltspunkte für Marktwetten lägen nicht vor, jedenfalls nicht offensichtlich unhaltbar. Schliesslich bemängelt die Beschwerdeführerin die Erwägungen der Vorinstanz betreffend den Verkauf der Anteile des Fonds X.________. Eingedenk dessen, dass die Vorinstanz eine Pflichtverletzung der Vermögensverwalterin im Zusammenhang mit dem Verkauf der besagten Fondsanteile bejaht hat, erübrigen sich Weiterungen unter dem Titel der Pflichtverletzung (vgl. aber E. 7.2 hinten).</w:t>
      </w:r>
    </w:p>
    <w:p>
      <w:r>
        <w:rPr>
          <w:b/>
        </w:rPr>
        <w:t>E. 6.6.1</w:t>
      </w:r>
    </w:p>
    <w:p>
      <w:r>
        <w:t>Was die Verantwortlichkeit der Kontrollstelle betrifft, hat die Vorinstanz zunächst Gesetz und Rechtsprechung zu den Pflichten der Kontrollstelle (namentlich BGE 137 V 446 E. 6.2.2 S. 449 zur Rechtmässigkeitsprüfung in Bezug auf die Geschäftsführung) und zur Abgrenzung zu den Aufgaben des BVG-Experten ( BGE 141 V 71 E. 6.1.4 S. 82 f. und E. 6.2.3.2 S. 86) wiedergegeben. Gestützt darauf hat sie einen wesentlichen Teil der klägerischen Vorwürfe als unbegründet erachtet, weil diese ausschliesslich die Zweckmässigkeit der Geschäftsführung oder der Vermögensanlage zum Gegenstand hätten, eine laufende Prüfung und Kontrolle voraussetzten oder eine Prüfung des Anlagekonzeptes verlangten. Zum Vorwurf der fehlenden Unabhängigkeit der Kontrollstelle wegen verwandtschaftlicher Beziehungen zum Stiftungsrat erwog das kantonale Gericht, das Kontrollmandat der F.________ AG sei im Lichte der damals geltenden Bestimmungen und Usanz nicht zu beanstanden. Ebenfalls unbegründet sei der Vorwurf, der Entscheid für die Mandatierung von L.________ sei der Kontrollstelle zuzurechnen, gehe aus den Protokollen (der Geschäftsleitungssitzungen) vom 8. und 16. November 2001 klar hervor, dass der Entscheid allein vom Stiftungsrat gefällt worden sei. Als nicht stichhaltig erachtete die Vorinstanz ferner den Vorwurf, durch fehlende Hinweise auf die unrechtmässige Anlagestrategie im Ergänzungsbericht vom 27. April 2000 und dem Bericht zur Jahresrechnung 2000 habe die Kontrollstelle verhindert, dass die Aufsichtsbehörde die akute Gefahr für die Stiftung habe erkennen können. Unbegründet sei sodann das Vorbringen, die Kontrollstelle habe mit dem Investment in den Fonds Y.________ eine gesetzwidrige Anlage toleriert, zumal es sich um eine Nominalwertanlage mit Kapitalgarantie gehandelt habe. Überdies sei nicht dargetan, dass dieses Investment zu einem Schaden geführt hätte. Folglich verneinte die Vorinstanz ein pflichtwidriges Verhalten der Kontrollstelle.</w:t>
      </w:r>
    </w:p>
    <w:p>
      <w:r>
        <w:rPr>
          <w:b/>
        </w:rPr>
        <w:t>E. 6.6.2</w:t>
      </w:r>
    </w:p>
    <w:p>
      <w:r>
        <w:t>Die Beschwerdeführerin rügt zunächst, die vorinstanzlichen Ausführungen zur Unabhängigkeit der Kontrollstelle verletzten Bundesrecht ( Art. 34 BVV 2 in der bis Ende 2011 geltenden Fassung). Wie es sich damit verhält, braucht nicht geprüft zu werden, weil nicht einmal ansatzweise dargetan wird, inwiefern eine Verletzung der Unabhängigkeitsvorgaben kausal für den geltend gemachten Schaden gewesen sein sollte. Dies ist auch (anderweitig) nicht ersichtlich. Weiter macht die Beschwerdeführerin geltend, die Kontrollstelle habe entgegen der Vorinstanz ihre Meldepflicht verletzt. Die Beschwerdeführerin beschränkt sich diesbezüglich jedoch weitestgehend darauf, ihre eigene Sicht der Dinge zu präsentieren, ohne konkret aufzuzeigen, inwiefern der angefochtene Entscheid Recht verletzt. Darauf ist nicht einzugehen. Soweit die Beschwerdeführerin die vorinstanzlichen Schlussfolgerungen zum Engagement in den Fonds Y.________ bemängelt, geht sie nicht auf die Feststellung des kantonalen Gerichts ein, es sei kein daraus resultierender Schaden ausgewiesen. Auch damit kommt sie ihrer Begründungspflicht nicht nach. Schliesslich moniert die Beschwerdeführerin, die Vorinstanz habe den Umstand nicht gewürdigt, dass die Kontrollstelle durch ihren Einsitz in der Task Force im Wertschriften-Anlagebereich einen zusätzlichen Beratungsauftrag eingegangen sei. Aufgrund dieses Auftrags hätte die Kontrollstelle auf die Fehler bzw. Unsicherheiten im Angebot von L.________ hinweisen oder zumindest verlangen müssen, dass der Experte der K.________ seine Bedenken schriftlich äussere. Indem sie dies unterlassen habe, sei der Stiftungsrat in seinem Entscheid, "L.________ den Vermögensverwaltungsauftrag zu erteilen, bestärkt" worden. Wie es sich damit verhält, kann letztlich ebenfalls offenbleiben. In der Beschwerde wird nicht aufgezeigt, weshalb das Verhalten der Kontrollstelle natürlich kausal im Sinn einer condicio sine qua non (vgl. BGE 141 V 51 E. 8.1 S. 66 mit Hinweis) gewesen sein sollte; auch wenn das "Bestärken" des Stiftungsrats weggedacht würde, ist nicht überwiegend wahrscheinlich, dass der Stiftungsrat von seinem Entschluss abgerückt wäre. Mithin hat es hinsichtlich der verneinten Verantwortlichkeit der Kontrollstelle beim angefochtenen Entscheid sein Bewenden.</w:t>
      </w:r>
    </w:p>
    <w:p>
      <w:r>
        <w:rPr>
          <w:b/>
        </w:rPr>
        <w:t>E. 7.1</w:t>
      </w:r>
    </w:p>
    <w:p>
      <w:r>
        <w:t>Feststellungen zum Schaden, welcher klageweise auf Fr. 6'180'000.- betreffend den Zeitraum von 31. Dezember 2000 bis 10. Oktober 2001 und auf Fr. 2'209'187.- betreffend den Zeitraum von 31. Dezember 2001 bis 31. März 2003 beziffert wurde, hat die Vorinstanz - in Offenlassung der Frage der hinreichenden Substanziierung - nur vereinzelt getroffen. Zum einen hat sie betreffend den Zeitraum von 31. Dezember 2000 bis 10. Oktober 2001 erkannt, bei der Ermittlung der Vergleichsperformance hätten die Experten der K.________ die erforderliche Währungsbereinigung unterlassen. Dieser Berechnungsfehler wird von der Beschwerdeführerin anerkannt. Zum anderen stellte die Vorinstanz fest, der von der Klägerin gewählte Zeitraum für die Schadensberechnung (31. Dezember 2000 bis 10. Oktober 2001) sei unzutreffend. Richtigerweise müsste die gesamte Dauer der Vermögensverwaltungstätigkeit der Beklagten 5 herangezogen werden, was von der Beschwerdeführerin bestritten wird. Wie zuvor dargelegt wurde (E. 6.1.5), hat der Stiftungsrat den Grundsatz der Sicherheit der Anlagen im Verlaufe des Geschäftsjahres 2000 verletzt, indem das Aktienengagement ohne vorgängige Bildung von Schwankungsreserven erheblich ausgebaut wurde, wobei die dadurch entstandenen Risiken durch die äusserst aktive Anlagestrategie noch erheblich vergrössert wurden. Mangels im Jahr 1999 festgestellter Sorgfaltspflichtverletzungen fällt der Einbezug der Zeitspanne von Juli 1999 bis Dezember 1999 jedoch von vornherein ausser Betracht. Weil sich die Beschwerdeführerin - obschon bereits im Geschäftsjahr 2000 Verluste bei den Wertschriften zu verzeichnen waren - in zeitlicher Hinsicht darauf beschränkte, den ab 31. Dezember 2000 entstandenen Schaden geltend zu machen und das Gericht nicht über das Begehren der Parteien hinausgehen darf ( Art. 107 Abs. 1 BGG ), kann auf eine genaue Feststellung des Zeitpunkts der Sorgfaltspflichtverletzung verzichtet werden. Mithin ist der klageweise definierte Zeitraum für die Schadensbemessung nicht zu beanstanden. Weitere (abschliessende) Feststellungen zum Schaden fehlen. Zu den Haftungsvoraussetzungen des natürlichen und adäquaten Kausalzusammenhangs zwischen den Pflichtverletzungen und dem Schaden sowie zu derjenigen des Verschuldens hat die Vorinstanz ebenfalls keine Feststellungen getroffen. Deshalb ist der angefochtene Entscheid - in Bezug auf die vier Stiftungsräte - aufzuheben und die Sache ist zur Ergänzung und neuer Entscheidung an das kantonale Gericht zurückzuweisen.</w:t>
      </w:r>
    </w:p>
    <w:p>
      <w:r>
        <w:rPr>
          <w:b/>
        </w:rPr>
        <w:t>E. 7.2</w:t>
      </w:r>
    </w:p>
    <w:p>
      <w:r>
        <w:t>Den Schaden, welche die Vermögensverwalterin durch den unsorgfältig geplanten Verkauf der Anteile des Fonds X.________ verursachte, hat die Vorinstanz durch den zwischen der G.________ und der Vermögensverwalterin abgeschlossenen Vergleich über Fr. 120'000.- als abgegolten erachtet. Dies mit der Begründung, der Vermögensverwalterin hätten bloss untergeordnete Pflichtverletzungen nachgewiesen werden können bzw. ein nicht unwesentlicher Teil des Schadens sei durch die Bank V.________ verursacht worden. Mithin ging das kantonale Gericht zumindest sinngemäss von einer Haftungsbeschränkung wegen mitwirkenden Drittverschuldens aus (vgl. BGE 141 V 51 E. 8.3 S. 68 mit Hinweis). Die Beschwerdeführerin, welche die Vermögensverwalterin für den ganzen durch den Anteilsverkauf entstandenen Schaden belangen will, geht mit keinem Wort auf die vorinstanzlichen Ausführungen im Zusammenhang mit der Haftungsbeschränkung ein und zeigt namentlich nicht auf, inwiefern sie willkürlich oder sonstwie bundesrechtswidrig sein sollen (vgl. BGE 141 V 51 E. 8.1 S. 66 f.). Damit muss es in diesem Punkt beim angefochtenen Entscheid sein Bewenden haben.</w:t>
      </w:r>
    </w:p>
    <w:p>
      <w:r>
        <w:rPr>
          <w:b/>
        </w:rPr>
        <w:t>E. 8.1</w:t>
      </w:r>
    </w:p>
    <w:p>
      <w:r>
        <w:t>Die Parteien haben die Gerichtskosten nach Massgabe ihres Obsiegens und Unterliegens zu tragen ( Art. 66 Abs. 1 Satz 1 BGG ).</w:t>
      </w:r>
    </w:p>
    <w:p>
      <w:r>
        <w:rPr>
          <w:b/>
        </w:rPr>
        <w:t>E. 8.2</w:t>
      </w:r>
    </w:p>
    <w:p>
      <w:r>
        <w:t>Der anwaltlich nicht vertretenen Beschwerdeführerin ist keine Parteientschädigung zuzusprechen ( Art. 68 Abs. 3 BGG ). Die F.________ AG und die E.________ AG - beide sind anwaltlich vertreten - haben aufgrund ihres Obsiegens Anspruch auf eine Parteientschädigung zu Lasten der Beschwerdeführerin ( Art. 68 Abs. 1 und 2 BGG ). Die Parteientschädigung der E.________ AG ist entgegen der Honorarnote vom 12. Februar 2016 nicht auf Fr. 64'830.65 festzusetzen. Der geltend gemachte Betrag übersteigt den Tarif gemäss Art. 4 des Reglements über die Parteientschädigung und die Entschädigung für die amtliche Vertretung im Verfahren vor dem Bundesgericht (SR 173.110.210.3), ohne dass ein besonderer Fall gemäss Art. 8 Abs. 1 dieses Reglements gegeben ist. Unter Berücksichtigung der Wichtigkeit und Schwierigkeit der Streitsache, bei letzterem Kriterium ist zu beachten, dass die die E.________ AG betreffenden Rügen der Beschwerdeführerin sehr eingegrenzt sind, sowie des Arbeitsaufwands des Rechtsvertreters erscheint eine Entschädigung von Fr. 39'960.-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