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752/2012 vom 27. Dezember 2012</w:t>
      </w:r>
    </w:p>
    <w:p>
      <w:r>
        <w:t>Bundesgericht, 2012-12-27, DE</w:t>
      </w:r>
    </w:p>
    <w:p>
      <w:r>
        <w:rPr>
          <w:b/>
        </w:rPr>
        <w:t xml:space="preserve">Quelle: </w:t>
      </w:r>
      <w:r>
        <w:t>https://mcp.opencaselaw.ch/entscheid/bger_9C_752_2012</w:t>
      </w:r>
    </w:p>
    <w:p>
      <w:r>
        <w:t>FR: TF 9C 752/2012 du 27 décembre 2012</w:t>
      </w:r>
    </w:p>
    <w:p>
      <w:r>
        <w:t>IT: TF 9C 752/2012 del 27 dicembre 2012</w:t>
      </w:r>
    </w:p>
    <w:p>
      <w:pPr>
        <w:pStyle w:val="Heading2"/>
      </w:pPr>
      <w:r>
        <w:t>Regeste</w:t>
      </w:r>
    </w:p>
    <w:p>
      <w:r>
        <w:t>Alters- und Hinterlassenenversicherung | Alters- und Hinterlassenenversicherung</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w:t>
      </w:r>
    </w:p>
    <w:p>
      <w:r>
        <w:rPr>
          <w:b/>
        </w:rPr>
        <w:t>E. 2</w:t>
      </w:r>
    </w:p>
    <w:p>
      <w:r>
        <w:t>Da den drei Beschwerden derselbe Sachverhalt zu Grunde liegt, sich die gleichen Rechtsfragen stellen und die Rechtsmittel sich gegen einen Entscheid richten, welcher die Beschwerdeführenden in gleicher Weise zu Schadenersatz verpflichtet, wenn auch in unterschiedlichem Umfang, rechtfertigt es sich, die drei Verfahren betreffend die X.________ AG zu vereinigen und in einem einzigen Urteil zu erledigen.</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4</w:t>
      </w:r>
    </w:p>
    <w:p>
      <w:r>
        <w:t>Streitig ist die Schadenersatzpflicht der Beschwerdeführer. Dabei ist in prozessualer Hinsicht zunächst die Frage der Beiladung allfälliger Mitinteressierter zu prüfen.</w:t>
      </w:r>
    </w:p>
    <w:p>
      <w:r>
        <w:rPr>
          <w:b/>
        </w:rPr>
        <w:t>E. 4.1</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(Gygi, Bundesverwaltungsrechtspflege, 2. Auflage, S. 183 f.; Kölz/Häner, Verwaltungsverfahren und Verwaltungsrechtspflege des Bundes, 2. Auflage, S. 191 N 528; BGE 125 V 80 E. 8b S. 9 f.; vgl. auch BGE 118 Ib 56 E. 1c S. 360; Urteil H 68/01 vom 23. April 2002). Die Beiladung ermöglicht es, dem Recht auf vorgängige Anhörung Rechnung zu tragen, bevor ein nachteiliger Entscheid ergeht; damit ist die Beiladung auch Ausfluss des rechtlichen Gehörs (Kölz/Häner, a.a.O., S. 191 f. N 528 f.). Nach der Rechtsprechung (Urteil H 68/01 vom 23. April 2002 E. 2b, Urteil H 365/01 vom 15. April 2002 E. 3b, Urteil H 134/00 vom 3. November 2000 E. 3d, Urteil H 256/97 vom 30. September 1998 E. 4b) ist das Sozialversicherungsgericht gehalten, andere von der Ausgleichskasse belangte Solidarschuldner beizuladen, und zwar sowohl wenn gegen diese das Verfahren noch hängig ist, als auch wenn deren Haftung bereits rechtskräftig feststeht. Praxisgemäss nicht beizuladen sind demgegenüber Dritte, die auch als Mithaftende in Frage kommen könnten, von der Ausgleichskasse aber nicht belangt worden sind (Urteil H 327/98 vom 30. Juni 2000 E. 3b; ebenso in anderem Zusammenhang auch RKUV 2003 Nr. U 485 S. 257 E. 3 U 307/01). In SZS 2007 S. 152, H 72/06, hat das Bundesgericht entschieden, dass an dieser Praxis festzuhalten ist (Beschluss des Gesamtgerichts des Eidgenössischen Versicherungsgerichts vom 22. August 2006) und hat sie in der Folge auch weiterhin zur Anwendung gebracht (Urteil 9C_158/2008 vom 30. September 2008).</w:t>
      </w:r>
    </w:p>
    <w:p>
      <w:r>
        <w:rPr>
          <w:b/>
        </w:rPr>
        <w:t>E. 4.2</w:t>
      </w:r>
    </w:p>
    <w:p>
      <w:r>
        <w:t>Die Ausgleichskasse ist nicht nur gegen die drei Beschwerdeführer sowie T.________ und U.________ (welche zwar den Einspracheentscheid, nicht aber den sie zu einem reduzierten Schadenersatz verpflichtenden vorinstanzlichen Entscheid angefochten haben) vorgegangen, sondern hat auch gegenüber dem ehemaligen Vizepräsident und Delegierten des Verwaltungsrats der Gesellschaft, A.________, eine Schadenersatzverfügung erlassen. Dieser hat die Schadenersatzforderung anerkannt und mit der Ausgleichskasse eine Ratenzahlungsvereinbarung geschlossen. Nach der dargelegten Rechtsprechung (E. 4.1 hievor) hätte das kantonale Gericht A.________ zum Verfahren beiladen müssen. Zwar rechtfertigt eine solche Unterlassung nicht in jedem Fall eine Rückweisung an die Vorinstanz. Rechtsprechungsgemäss kann von einer Rückweisung der Streitsache an die Vorinstanz zur Gewährung des rechtlichen Gehörs nach dem Grundsatz der Verfahrensökonomie abgesehen werden, wenn dieses Vorgehen zu einem formalistischen Leerlauf und damit zu unnötigen Verzögerungen führen würde, die mit dem (gleichlaufenden und der Anhörung gleichgestellten) Interesse an einer möglichst beförderlichen Beurteilung nicht zu vereinbaren sind ( BGE 116 V 182 E. 3d S. 186). So verhält es sich hier jedoch nicht: Die erforderliche Stellungnahme kann noch eingeholt werden und anders als im erwähnten Urteil H 72/06 vermögen die allfälligen darin vorgebrachten Aspekte durchaus die Rechtsstellung der einzelnen in Pflicht genommenen ehemaligen Organe der Gesellschaft noch zu beeinflussen (vgl. BGE 134 V 306 E. 3.2.1 S. 310) und können damit den Beschwerdeführern zweckdienlich sein. Denn es liegen gerade die Fragen im Streit, ob noch weitere Ratenzahlungen durch A.________ geleistet wurden, welche die Vorinstanz nicht berücksichtigt hat (MEYER/DORMANN, in: Basler Kommentar, 2. A., 2011, N. 11 in fine zu Art. 105 BGG ) und inwieweit diese gegebenenfalls den Beschwerdeführern anzurechnen sind. Die Sache ist deshalb an die Vorinstanz zurückzuweisen, damit diese die Beiladung anordne.</w:t>
      </w:r>
    </w:p>
    <w:p>
      <w:r>
        <w:rPr>
          <w:b/>
        </w:rPr>
        <w:t>E. 5</w:t>
      </w:r>
    </w:p>
    <w:p>
      <w:r>
        <w:t>Auf einen Schriftenwechsel wird angesichts des Verfahrensausgangs, der auf formellen Gründen beruht, verzichtet. Die Einholung einer Vernehmlassung zur Beschwerde, die ausschliesslich materiellen Inhalts ist, käme einem Leerlauf gleich und würde nur weitere Kosten verursachen. Damit ist aus Gründen der Prozessökonomie ein Schriftenwechsel nicht erforderlich (Art. 102 Abs. 1 a.A. BGG, Urteil 9C_477/2012 vom 21. September 2012).</w:t>
      </w:r>
    </w:p>
    <w:p>
      <w:r>
        <w:rPr>
          <w:b/>
        </w:rPr>
        <w:t>E. 6</w:t>
      </w:r>
    </w:p>
    <w:p>
      <w:r>
        <w:t>Mit dem sofortigen Entscheid in der Sache ist die Frage der aufschiebenden Wirkung der Beschwerde gegenstandslos.</w:t>
      </w:r>
    </w:p>
    <w:p>
      <w:r>
        <w:rPr>
          <w:b/>
        </w:rPr>
        <w:t>E. 7</w:t>
      </w:r>
    </w:p>
    <w:p>
      <w:r>
        <w:t>Dem Ausgang des Verfahrens entsprechend hat die Ausgleichskasse die Gerichtskosten zu tragen ( Art. 66 Abs. 1 BGG ) und den Beschwerdeführern eine Parteientschädigung zu entrichten. H.________ und S.________ haben diesbzüglich nur einen reduzierten Anspruch, da sie durch denselben Rechtsanwalt vertreten und die Beschwerdeschriften identisch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