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9C_751/2011 vom 30. April 2012</w:t>
      </w:r>
    </w:p>
    <w:p>
      <w:r>
        <w:t>Bundesgericht, 2012-04-30, FR</w:t>
      </w:r>
    </w:p>
    <w:p>
      <w:r>
        <w:rPr>
          <w:b/>
        </w:rPr>
        <w:t xml:space="preserve">Quelle: </w:t>
      </w:r>
      <w:r>
        <w:t>https://mcp.opencaselaw.ch/entscheid/bger_9C_751_2011</w:t>
      </w:r>
    </w:p>
    <w:p>
      <w:r>
        <w:t>FR: TF 9C_751/2011 du 30 avril 2012</w:t>
      </w:r>
    </w:p>
    <w:p>
      <w:r>
        <w:t>IT: TF 9C_751/2011 del 30 aprile 2012</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Compte tenu des conclusions du recourant (cf. art. 107 al. 1 LTF ), le litige porte sur le droit de l'intimée à une demi-rente d'invalidité à partir du 1er mai 2005, en lieu et place du trois quarts de rente d'invalidité reconnu à l'assurée par la juridiction cantonale depuis cette date. A cet égard, le jugement entrepris expose correctement les dispositions légales relatives à la notion d'invalidité et à l'évaluation de l'incapacité de gain des assurés exerçant une activité lucrative. On peut donc y renvoyer.</w:t>
      </w:r>
    </w:p>
    <w:p>
      <w:r>
        <w:rPr>
          <w:b/>
        </w:rPr>
        <w:t>E. 3</w:t>
      </w:r>
    </w:p>
    <w:p>
      <w:r>
        <w:t>Constatant au vu des conclusions du docteur B.________ que l'intimée disposait d'une capacité de travail de 20 % dans l'activité de masseuse-réflexologue et de 50 % dans une activité adaptée d'employée de bureau (dès le mois de mai 2001), les premiers juges ont procédé à une comparaison des revenus au sens de l' art. 16 LPGA . Se référant aux salaires que l'intimée avait obtenus jusqu'en 1999 dans son activité d'employée de bureau - le revenu de son activité indépendante coïncidait avec une période où elle connaissait déjà des difficultés de santé -, ils ont fixé à 65'474 fr. le revenu sans invalidité. Ce montant correspondait à la moyenne des salaires réalisés de 1997 à 1999 (adaptée à l'évolution des salaires jusqu'en 2002), le revenu de 1999 apparaissant nettement plus élevé que celui des années précédentes et devant de ce fait être considéré comme extraordinaire. Pour le revenu après invalidité, la juridiction cantonale s'est fondée sur les salaires statistiques de l'Enquête suisse sur les salaires (ESS), singulièrement sur le revenu obtenu dans l'activité "autres activités commerciales et administratives" (TA7, ligne 23, pour l'année 2002), et l'a fixé à 29'759 fr. en fonction d'une capacité de travail de 50 %. Elle a appliqué à ce montant un abattement de 12 %, soit 10 % en raison de l'exercice d'une activité légère à mi-temps et 2 % à cause des problèmes ophtalmologiques qui s'ajoutaient au troubles rhumatologiques dont souffrait l'intimée. De la comparaison des deux revenus ainsi déterminés (65'474 fr. et 26'188 fr.) il résultait un taux d'invalidité de 60 %, ce qui ouvrait le droit à un trois quarts de rente.</w:t>
      </w:r>
    </w:p>
    <w:p>
      <w:r>
        <w:rPr>
          <w:b/>
        </w:rPr>
        <w:t>E. 4.1</w:t>
      </w:r>
    </w:p>
    <w:p>
      <w:r>
        <w:t>Avant d'examiner l'unique grief du recourant, qui s'en prend à l'abattement opéré par les premiers juges sur le revenu avec invalidité résultant des statistiques ESS, il convient de se pencher sur l'argumentation de l'intimée relative au revenu sans invalidité. L'assurée reproche à la juridiction cantonale de ne pas s'être référée au salaire obtenu pendant la seule année 1999, mais sur la moyenne des salaires réalisés entre 1997 et 1999 dans son ancienne activité d'employée de bureau. Son grief, qui relève d'une critique des règles sur la manière de déterminer le revenu sans invalidité et donc d'une question de droit (cf. art. 106 al. 1 LTF ), est mal fondé.</w:t>
      </w:r>
    </w:p>
    <w:p>
      <w:r>
        <w:t>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w:t>
      </w:r>
    </w:p>
    <w:p>
      <w:r>
        <w:rPr>
          <w:b/>
        </w:rPr>
        <w:t>E. 4.2</w:t>
      </w:r>
    </w:p>
    <w:p>
      <w:r>
        <w:t>En relation avec l'abattement sur le revenu d'invalide, le recourant soutient que la juridiction cantonale a abusé de son pouvoir d'appréciation et appliqué arbitrairement le droit fédéral en retenant une déduction de 12 %. Celle-ci ne serait pas justifiée au regard des critères à prendre en compte, puisque les limitations liées au handicap de l'assurée avaient été prises en considération dans l'appréciation de sa capacité de travail et une réduction de 2 % supplémentaire contrevenait au principe d'une évaluation globale des facteurs déterminants.</w:t>
      </w:r>
    </w:p>
    <w:p>
      <w:r>
        <w:rPr>
          <w:b/>
        </w:rPr>
        <w:t>E. 4.2.1</w:t>
      </w:r>
    </w:p>
    <w:p>
      <w:r>
        <w:t>Une déduction sur le montant du salaire d'invalide résultant des statistiques ESS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 sur le salaire statistique permet de tenir compte des différents éléments qui peuvent influencer le revenu d'une activité lucrative ( ATF 126 V 75 consid. 5b/aa-cc p. 79).</w:t>
      </w:r>
    </w:p>
    <w:p>
      <w:r>
        <w:rPr>
          <w:b/>
        </w:rPr>
        <w:t>E. 4.2.2</w:t>
      </w:r>
    </w:p>
    <w:p>
      <w:r>
        <w:t>Comme le fait valoir à juste titre le recourant, la manière de procéder de la juridiction cantonale contrevient aux règles jurisprudentielles rappelées ci-avant. En tant qu'elle a appliqué une première déduction de 10 % (pour l'exercice d'une activité légère à mi-temps), à laquelle elle a ajouté une déduction de 2 % à cause des problèmes ophtalmologiques rencontrés par l'intimée, l'autorité cantonale de recours a procédé à des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De plus, la juridiction cantonale se contente d'évoquer les problèmes ophtalmologiques sans démontrer en quoi ils constitueraient un inconvénient se répercutant sur le revenu d'invalide qu'elle n'aurait pas déjà pris en considération pour déterminer l'étendue de la capacité de travail de l'intimée et l'activité exigible. A cet égard, elle a retenu qu'il n'y avait pas lieu de revoir l'étendue de la capacité de travail retenue par l'expert B.________ "sous l'angle ophtalmologique" puisque l'intimée avait précisé que ses troubles de la vue (présents depuis la naissance) n'avaient pas motivé la réduction de son temps de travail comme employée de banque. Au demeurant, l'empêchement dont a fait état le docteur B.________ en relation avec les troubles ophtalmologiques - travail sur ordinateur limité à 4 heures par jour (cf. aussi l'avis du docteur D.________, spécialiste FMH en ophtalmologie, du 2 mai 2006) - est compatible avec l'exigibilité d'une capacité de travail de 50 % dans l'activité d'employée de bureau à laquelle a conclu l'expert.</w:t>
      </w:r>
    </w:p>
    <w:p>
      <w:r>
        <w:t>Quant au critère du taux d'occupation réduit, il n'a guère d'importance en l'occurrence. Selon les statistiques, les femmes exerçant une activité à temps partiel ne gagnent souvent pas un revenu moins élevé que les personnes travaillant à plein temps. On peut penser ici à des domaines d'activités dans lesquels les postes à temps partiel sont répandus et répondent à un besoin de la part des employeurs, qui sont prêts à les rémunérer en conséquence. L'activité à temps partiel chez les femmes peut même, en comparaison avec un travail à plein temps, être proportionnellement mieux rémunérée, de sorte qu'une déduction sur le revenu d'invalide n'est pas justifiée (cf. LSE 2002, tableau T8*, p. 28: salaire mensuel [valeur centrale] des femmes, niveau de qualification 4, taux d'activité 90 % et plus: 3'792 fr., taux d'activité de 50 % à 74 %: 3'983 fr.; différence + 4,8 %).</w:t>
      </w:r>
    </w:p>
    <w:p>
      <w:r>
        <w:t>Contrairement à ce que voudrait l'intimée en invoquant le fait qu'elle n'a plus effectué des activités de secrétariat depuis 1999, on ne saurait pas non plus fonder une déduction sur le facteur des années de service, puisqu'elle a à l'époque quitté ce secteur d'activités afin d'exercer une nouvelle profession (à titre indépendant), soit pour des raisons étrangères à ses problèmes de santé.</w:t>
      </w:r>
    </w:p>
    <w:p>
      <w:r>
        <w:rPr>
          <w:b/>
        </w:rPr>
        <w:t>E. 4.2.3</w:t>
      </w:r>
    </w:p>
    <w:p>
      <w:r>
        <w:t>Dans ces circonstances, il est contraire au droit d'imposer à l'administration une déduction (de 12 %) pour fixer le revenu d'invalide. Celui-ci doit donc être déterminé de la manière suivante: 4'769 fr. (salaire de référence, tel que constaté par la juridiction cantonale), adapté à l'horaire de travail hebdomadaire en 2002 (41,7 heures [La Vie économique, 11/2006, B 9.2, p. 90] et non pas 41,6 comme retenu de manière manifestement inexacte dans le jugement entrepris) et converti en salaire annuel, soit 59'660 fr. par an x 0,5 (capacité de travail de 50 %) = 29'830 fr.</w:t>
      </w:r>
    </w:p>
    <w:p>
      <w:r>
        <w:t>La comparaison du revenu d'invalide avec le revenu sans invalidité (65'474 fr.) met en évidence un degré d'invalidité de 54,43 %, ce qui ouvre le droit à une demi-rente d'invalidité ( art. 28 al. 2 LAI ).</w:t>
      </w:r>
    </w:p>
    <w:p>
      <w:r>
        <w:rPr>
          <w:b/>
        </w:rPr>
        <w:t>E. 5</w:t>
      </w:r>
    </w:p>
    <w:p>
      <w:r>
        <w:t>En conséquence de ce qui précède, le jugement entrepris doit être réformé en ce sens que l'intimée a droit à une demi-rente de l'assurance-invalidité dès le 1er mai 2005. Partant, le recours se révèle bien fondé.</w:t>
      </w:r>
    </w:p>
    <w:p>
      <w:r>
        <w:rPr>
          <w:b/>
        </w:rPr>
        <w:t>E. 6</w:t>
      </w:r>
    </w:p>
    <w:p>
      <w:r>
        <w:t>Vu l'issue du litige, les frais judiciaires sont mis à la charge de l'assurée ( art. 66 al. 1 LTF ) qui ne peut prétendre des dépens ( art. 68 al. 1 LTF ). Les conditions auxquelles l' art. 64 al. 1 et 2 LTF subordonne l'octroi de l'assistance judiciaire étant toutefois réalisées, celle-ci lui est octroyée. Son attention est attirée sur le fait qu'elle devra rembourser la caisse du Tribunal si elle devient en mesure de le faire ultérieurement ( art. 64 al. 4 LTF ).</w:t>
      </w:r>
    </w:p>
    <w:p>
      <w:r>
        <w:t>L'issue du litige n'a en revanche pas d'incidence sur la répartition des dépens et des frais de première instance, au regard des conclusions de l'assurée qui demandait à la juridiction cantonale de fixer le taux d'invalidité et de lui octroyer une rente de l'assurance-invalidité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