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9C_749/2019 vom 21. Februar 2020</w:t>
      </w:r>
    </w:p>
    <w:p>
      <w:r>
        <w:t>Bundesgericht, 2020-02-21, FR</w:t>
      </w:r>
    </w:p>
    <w:p>
      <w:r>
        <w:rPr>
          <w:b/>
        </w:rPr>
        <w:t xml:space="preserve">Quelle: </w:t>
      </w:r>
      <w:r>
        <w:t>https://mcp.opencaselaw.ch/entscheid/bger_9C_749_2019</w:t>
      </w:r>
    </w:p>
    <w:p>
      <w:r>
        <w:t>FR: TF 9C_749/2019 du 21 février 2020</w:t>
      </w:r>
    </w:p>
    <w:p>
      <w:r>
        <w:t>IT: TF 9C_749/2019 del 21 febbraio 2020</w:t>
      </w:r>
    </w:p>
    <w:p>
      <w:pPr>
        <w:pStyle w:val="Heading2"/>
      </w:pPr>
      <w:r>
        <w:t>Erwägungen</w:t>
      </w:r>
    </w:p>
    <w:p>
      <w:r>
        <w:rPr>
          <w:b/>
        </w:rPr>
        <w:t>E. 1</w:t>
      </w:r>
    </w:p>
    <w:p>
      <w:r>
        <w:t>Le Tribunal fédéral examine d'office sa compétence ( art. 29 al. 1 LTF ) et contrôle librement la recevabilité des recours qui lui sont soumis ( art. 29 al. 1 LTF ; ATF 144 V 280 consid. 1 p. 282 et les références).</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(cf. ATF 137 III 614 consid. 3.2.1 p. 616; arrêt 2C_228/2017 du 21 juillet 2017 consid. 1.1).</w:t>
      </w:r>
    </w:p>
    <w:p>
      <w:r>
        <w:t>En l'occurrence, au cours de la procédure 9C_738/2019, l'assurée a signalé au Tribunal fédéral que la caisse-maladie intimée avait accepté de prendre en charge l'intégralité des frais en cause, sans qu'elle ne dût y participer (raison pour laquelle elle avait retiré son recours). Faisant implicitement référence à l'acceptation d'Assura, l'OFSP a indiqué maintenir son recours nonobstant ce nouveau fait. Il soutient que l'exigence d'un intérêt actuel au recours - dût-elle s'appliquer au regard de l' art. 89 al. 2 LTF - devrait faire l'objet d'une exception, puisqu'elle risquerait d'empêcher une juridiction de revoir une question de principe susceptible de se reproduire dans les mêmes conditions. Il doit être tenu compte de l'accord de l'assureur-maladie de prendre en charge les frais initialement litigieux, s'agissant de l'examen de la recevabilité du recours.</w:t>
      </w:r>
    </w:p>
    <w:p>
      <w:r>
        <w:rPr>
          <w:b/>
        </w:rPr>
        <w:t>E. 1.2</w:t>
      </w:r>
    </w:p>
    <w:p>
      <w:r>
        <w:t>L'OFSP a qualité pour former un recours en matière de droit public si l'acte attaqué est, comme en l'espèce, susceptible de violer la législation fédérale dans son domaine d'attributions ( art. 89 al. 2 let. a LTF en relation avec l' art. 27 OAMal ).</w:t>
      </w:r>
    </w:p>
    <w:p>
      <w:r>
        <w:rPr>
          <w:b/>
        </w:rPr>
        <w:t>E. 1.3</w:t>
      </w:r>
    </w:p>
    <w:p>
      <w:r>
        <w:t>Le droit de recours spécial de l' art. 89 al. 2 let. a LTF a un caractère abstrait et autonome et les conditions de l' art. 89 al. 1 LTF ne lui sont pas applicables ( ATF 136 II 359 consid. 1.2 p. 363; arrêt 2C_776/2016 du 17 juillet 2017 consid. 3.4). La question sur laquelle il y a lieu de statuer doit cependant revêtir une certaine actualité ( ATF 135 II 338 consid. 1.2.1 p. 341 s.), de sorte que la jurisprudence relative à l'exigence d'un intérêt actuel, établie par le Tribunal fédéral dans le cadre de l' art. 89 al. 1 LTF , est en principe valable aussi pour le droit de recours spécial des autorités de l' art. 89 al. 2 let. a LTF . Le recourant doit ainsi disposer d'un intérêt actuel et pratique à obtenir l'annulation de l'acte attaqué. Cet intérêt doit exister tant au moment du dépôt du recours qu'à celui où l'arrêt est rendu ( ATF 137 I 296 consid. 4.2 p. 299).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à résoudre la controverse ( ATF 142 I 135 consid. 1.3.1 p. 143 et les arrêts cités; arrêt 2C_494/2018 du 10 janvier 2019 consid. 1.3).</w:t>
      </w:r>
    </w:p>
    <w:p>
      <w:r>
        <w:rPr>
          <w:b/>
        </w:rPr>
        <w:t>E. 1.3.1</w:t>
      </w:r>
    </w:p>
    <w:p>
      <w:r>
        <w:t>En l'espèce, le litige porte sur une éventuelle obligation d'Assura d'exempter A.________ de la participation aux coûts des prestations qui lui ont été dispensées en lien avec l'interruption non punissable de grossesse qu'elle a subie le 29 juillet 2018 ( art. 64 al. 7 let. b LAMal en relation avec l' art. 30 LAMal ). Dès lors qu'Assura a entre-temps accepté de prendre en charge l'intégralité des coûts litigieux, il n'existe plus d'intérêt actuel au recours de l'OFSP devant le Tribunal fédéral. Il convient donc d'examiner si les conditions permettant exceptionnellement de traiter un recours nonobstant l'absence d'un tel intérêt pourraient être réalisées.</w:t>
      </w:r>
    </w:p>
    <w:p>
      <w:r>
        <w:rPr>
          <w:b/>
        </w:rPr>
        <w:t>E. 1.3.2</w:t>
      </w:r>
    </w:p>
    <w:p>
      <w:r>
        <w:t>La contestation ici en cause est susceptible de se reproduire en tout temps dans des circonstances identiques ou analogues. On ne voit cependant pas que sa nature exclurait qu'elle soit tranchée par une autorité judiciaire avant de perdre son actualité. Il n'apparaît en effet pas qu'une assurée qui serait confrontée au refus de sa caisse-maladie de l'exempter de la participation aux coûts des prestations dispensées en relation avec une interruption non punissable de grossesse ne puisse porter sa cause devant une juridiction en raison d'un risque de voir disparaître les droits qu'elle invoque. A cet égard, l'OFSP se borne à prétendre que la pratique des assureurs-maladie "ne pourra jamais faire l'objet d'un examen judiciaire" puisqu'ils peuvent parfaitement continuer de refuser d'exempter de la participation aux coûts les prestations en cas d'interruption non punissable de grossesse, puis "se rétracter uniquement si un recours est déposé devant le Tribunal fédéral, comme cela vient de se produire dans l'affaire qui nous occupe". Cette affirmation, qui repose sur une simple supposition, ne suffit pas pour admettre que, de par sa nature, la contestation ne pourrait pas être soumise à une autorité judiciaire avant qu'elle ne perde son actualité.</w:t>
      </w:r>
    </w:p>
    <w:p>
      <w:r>
        <w:rPr>
          <w:b/>
        </w:rPr>
        <w:t>E. 1.4</w:t>
      </w:r>
    </w:p>
    <w:p>
      <w:r>
        <w:t>En conséquence, dès lors que l'intérêt actuel a disparu après le dépôt du recours, et que les conditions permettant exceptionnellement de traiter un recours nonobstant l'absence d'un tel intérêt ne sont pas réalisées, la cause est devenue sans objet. Partant, elle doit être rayée du rôle (cf. ATF 137 I 23 consid. 1.3.1 p. 24 s. et les arrêts cités).</w:t>
      </w:r>
    </w:p>
    <w:p>
      <w:r>
        <w:rPr>
          <w:b/>
        </w:rPr>
        <w:t>E. 2.1</w:t>
      </w:r>
    </w:p>
    <w:p>
      <w:r>
        <w:t>Lorsque la cause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p. 374 s.; arrêt 8C_745/2011 du 6 juin 2012 consid. 2.1). Cette décision porte à la fois sur les frais judiciaires (cf. art. 66 LTF ) et sur les dépens (cf. art. 68 LTF ).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arrêt 9C_151/2016 du 27 janvier 2017 consid. 2.3).</w:t>
      </w:r>
    </w:p>
    <w:p>
      <w:r>
        <w:rPr>
          <w:b/>
        </w:rPr>
        <w:t>E. 2.2</w:t>
      </w:r>
    </w:p>
    <w:p>
      <w:r>
        <w:t>En l'espèce, il n'est pas possible de dire d'emblée quelle eût été l'issue de la procédure. Celle-ci concerne une question soulevée pour la première fois en instance fédérale en matière d'assurance-maladie, à propos de laquelle l'OFSP indique qu'il existe deux réponses possibles en fonction d'une interprétation large ou étroite de l' art. 64 al. 7 let. b LAMal , la sienne n'étant pas partagée par l'ensemble des assureurs-maladie. Le Tribunal fédéral ne saurait préjuger de l'issue du litige dans le contexte de sa décision sur les frais afférents à la procédure fédérale. Compte tenu des principes ci-dessus exposés, les frais doivent être mis à la charge de l'intimée, dont le revirement relatif à la prise en charge des coûts en cause a provoqué le défaut d'intérêt actuel au recours ( art. 66 al. 1 LTF ). Il n'y a pas lieu d'allouer des dépens à l'autorité recourante ( art. 68 al. 3 LTF ). L'assurée ne s'étant pas exprimée, elle ne saurait non plus prétendre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