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748/2007 vom 19. Februar 2008</w:t>
      </w:r>
    </w:p>
    <w:p>
      <w:r>
        <w:t>Bundesgericht, 2008-02-19, DE</w:t>
      </w:r>
    </w:p>
    <w:p>
      <w:r>
        <w:rPr>
          <w:b/>
        </w:rPr>
        <w:t xml:space="preserve">Quelle: </w:t>
      </w:r>
      <w:r>
        <w:t>https://mcp.opencaselaw.ch/entscheid/bger_9C_748_2007</w:t>
      </w:r>
    </w:p>
    <w:p>
      <w:r>
        <w:t>FR: TF 9C 748/2007 du 19 février 2008</w:t>
      </w:r>
    </w:p>
    <w:p>
      <w:r>
        <w:t>IT: TF 9C 748/2007 del 19 febbraio 2008</w:t>
      </w:r>
    </w:p>
    <w:p>
      <w:pPr>
        <w:pStyle w:val="Heading2"/>
      </w:pPr>
      <w:r>
        <w:t>Regeste</w:t>
      </w:r>
    </w:p>
    <w:p>
      <w:r>
        <w:t>Invalidenversicherung | Invalidenversicherung</w:t>
      </w:r>
    </w:p>
    <w:p>
      <w:pPr>
        <w:pStyle w:val="Heading2"/>
      </w:pPr>
      <w:r>
        <w:t>Erwägungen</w:t>
      </w:r>
    </w:p>
    <w:p>
      <w:r>
        <w:rPr>
          <w:b/>
        </w:rPr>
        <w:t>E. 1</w:t>
      </w:r>
    </w:p>
    <w:p>
      <w:r>
        <w:t>Beim angefochtenen Rückweisungsentscheid handelt es um einen Vor- oder Zwischenentscheid im Sinne von Art. 93 BGG ( BGE 133 V 477 E. 4.2 S. 481). Die Beschwerde ist somit zulässig, wenn er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Der zweite Tatbestand spielt hier keine Rolle. Ein Urteil des Bundesgerichts über die Höhe der Parteientschädigung für das kantonale Verfahren führt nicht sofort zu einem Endentscheid in der Sache.</w:t>
      </w:r>
    </w:p>
    <w:p>
      <w:r>
        <w:rPr>
          <w:b/>
        </w:rPr>
        <w:t>E. 2</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mit Hinweis auf die im Zusammenhang anwendbare Rechtsprechung zu Art. 87 Abs. 2 aOG gemäss BGE 126 I 97 E. 1b S. 100). Die Rückweisung der Sache an die Verwaltung zu ergänzender oder weiterer Abklärung und neuer Entscheidung bewirkt in der Regel keinen im Sinne von Art. 93 Abs. 1 lit. a BGG nicht wieder gutzumachenden Nachteil (erwähntes Urteil BGE 133 V 477 E. 5.2.1 und 5.2.2 S. 483 sowie in BGE 133 V 504 [I 126/07] nicht publizierte E. 1.2). Die Regelung der Kosten- und Entschädigungsfolgen in einem Rückweisungsentscheid stellt ebenfalls einen Vor- oder Zwischenentscheid im Sinne von Art. 93 BGG dar. Auch insofern ist der nicht wieder gutzumachende Nachteil zu verneinen, da über die Verteilung der Gerichts- und Parteikosten nicht befunden werden kann, ohne vorfrageweise die Begründetheit der Rückweisung zu prüfen, was unzulässig ist ( BGE 122 I 39 E. 1a/aa S. 41 mit Hinweisen; vgl. auch BGE 131 III 404 E. 3.3 S. 407).</w:t>
      </w:r>
    </w:p>
    <w:p>
      <w:r>
        <w:rPr>
          <w:b/>
        </w:rPr>
        <w:t>E. 3</w:t>
      </w:r>
    </w:p>
    <w:p>
      <w:r>
        <w:t>Im Lichte dieser Grundsätze ist die Beschwerde unzulässig, soweit die Höhe der Parteientschädigung für das kantonale Verfahren beanstandet wird. Auf die diesbezügliche Rüge in der Beschwerde kann daher nicht eingetreten werden. Das im Rückweisungsurteil Entschiedene wird mit Bezug auf die Höhe der Parteientschädigung im vorinstanzlichen Verfahren durch Beschwerde gegen den Endentscheid anfechtbar sein ( Art. 93 Abs. 3 BGG ). Gelangt der Streit nicht mehr vor das kantonale Gericht, beispielsweise wenn die IV-Stelle auf Grund der Ergebnisse der weiteren Abklärungen voll zu Gunsten des Versicherten entscheidet, kann sie nach Eintritt der Rechtskraft des Entscheides direkt Beschwerde in öffentlich-rechtlichen Angelegenheiten gegen den jetzt angefochtenen Entscheid erheben und beim Bundesgericht den die Parteientschädigung betreffenden Punkt unter Zustellung der Verfügung oder des Einspracheentscheides direkt rügen (vgl. BGE 133 V 645 E. 2.2 S. 648).</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