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9C_747/2014 vom 21. April 2015</w:t>
      </w:r>
    </w:p>
    <w:p>
      <w:r>
        <w:t>Bundesgericht, 2015-04-21, FR</w:t>
      </w:r>
    </w:p>
    <w:p>
      <w:r>
        <w:rPr>
          <w:b/>
        </w:rPr>
        <w:t xml:space="preserve">Quelle: </w:t>
      </w:r>
      <w:r>
        <w:t>https://mcp.opencaselaw.ch/entscheid/bger_9C_747_2014</w:t>
      </w:r>
    </w:p>
    <w:p>
      <w:r>
        <w:t>FR: TF 9C_747/2014 du 21 avril 2015</w:t>
      </w:r>
    </w:p>
    <w:p>
      <w:r>
        <w:t>IT: TF 9C_747/2014 del 21 aprile 2015</w:t>
      </w:r>
    </w:p>
    <w:p>
      <w:pPr>
        <w:pStyle w:val="Heading2"/>
      </w:pPr>
      <w:r>
        <w:t>Erwägungen</w:t>
      </w:r>
    </w:p>
    <w:p>
      <w:r>
        <w:rPr>
          <w:b/>
        </w:rPr>
        <w:t>E. 1</w:t>
      </w:r>
    </w:p>
    <w:p>
      <w:r>
        <w:t>Bien que le dispositif de l'acte entrepris renvoie la cause à l'intimée, il ne s'agit pas d'une décision incidente au sens de l' art. 93 LTF . En effet, la juridiction cantonale a statué définitivement sur les points contestés, le renvoi de la cause ne visant qu'à contraindre l'autorité administrative à rendre une nouvelle décision correspondant aux éléments constatés dans les considérants du jugement. Le recours est par conséquent recevable, puisqu'il est dirigé contre un jugement final ( art. 90 LTF ; arrêt 9C_824/2009 du 1er juin 2010 consid. 1, in SVR 2010 EO n° 1 p. 1).</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3.1</w:t>
      </w:r>
    </w:p>
    <w:p>
      <w:r>
        <w:t>La juridiction cantonale a constaté que les sociétés C.________ SA et D.________ Sàrl ne correspondaient pas à des structures juridiques inhabituelles que les organes de ces sociétés et de la société A.________ Sàrl auraient échafaudées, de façon manifestement abusive, aux fins d'échapper au moins partiellement à l'obligation légale de paiement des cotisations sociales. Ce constat n'avait toutefois de sens que dans l'hypothèse où les honoraires versés par la société A.________ Sàrl étaient payés aux sociétés employant les prestataires de services et non à ceux-ci directement. Il ressortait du dossier que les paiements de la société A.________ Sàrl étaient généralement effectués de main à main à E.________ (pour C.________ SA) et B.________ (pour D.________ Sàrl). Les montants ainsi réglés devaient être qualifiés de salaires déterminants soumis à cotisations paritaires, à moins que leur rétrocession à chacune des sociétés concernées ne soit prouvée à satisfaction de droit. La juridiction cantonale a retenu que les montants de 172'950 fr. versés à E.________ (sur un total de 234'750 fr.) et de 75'000 fr. versés à B.________ (sur un total de 265'000 fr.) n'avaient pas été comptabilisés dans les comptes des sociétés C.________ SA et D.________ Sàrl, si bien qu'ils constituaient des salaires déterminants sur lesquels la société A.________ Sàrl était tenue de payer des cotisations paritaires. Il convenait par conséquent de renvoyer le dossier à l'intimée afin qu'elle procède au calcul des cotisations sociales, frais de gestion et intérêts moratoires dus par la société A.________ Sàrl.</w:t>
      </w:r>
    </w:p>
    <w:p>
      <w:r>
        <w:rPr>
          <w:b/>
        </w:rPr>
        <w:t>E. 3.2</w:t>
      </w:r>
    </w:p>
    <w:p>
      <w:r>
        <w:t>La recourante reproche à la juridiction cantonale d'avoir procédé à une constatation manifestement inexacte des faits pertinents consécutive à une mauvaise appréciation des preuves, en tant qu'elle aurait retenu qu'un montant de 75'000 fr. versé en 2008 à B.________ n'aurait pas été rétrocédé à la société D.________ Sàrl. Si le grand livre de A.________ Sàrl faisait effectivement état d'un paiement par caisse au 31 décembre 2008 d'un montant de 140'225 fr. 50, il ressortait des extraits de compte de D.________ Sàrl que la créance initiale de 75'000 fr. dont celle-ci disposait au 1</w:t>
      </w:r>
    </w:p>
    <w:p>
      <w:r>
        <w:t>er janvier 2008 contre A.________ Sàrl avait été éteinte par l'imputation de frais de développement informatique par 24'461 fr. et par 54'419 fr. 50. De ces écritures, il résultait indiscutablement que, contrairement à ce qu'a retenu la juridiction cantonale, D.________ Sàrl avait bénéficié, à l'exclusion de B.________ personnellement, du paiement de la facture de 75'000 fr. afférente à l'année 2007. Autrement dit, des frais de développement incombant à D.________ Sàrl avaient été acquittés directement par le versement de A.________ Sàrl à hauteur de la facture émise par la première pour l'année 2007. Le paiement par caisse de A.________ Sàrl comptabilisé au 31 décembre 2008 avait directement servi au paiement de créanciers de D.________ Sàrl à concurrence de la facture d'honoraires 2007 de cette dernière.</w:t>
      </w:r>
    </w:p>
    <w:p>
      <w:r>
        <w:rPr>
          <w:b/>
        </w:rPr>
        <w:t>E. 4</w:t>
      </w:r>
    </w:p>
    <w:p>
      <w:r>
        <w:t>En l'occurrence, il n'est pas nécessaire d'examiner le bien-fondé des allégations de la recourante. Les faits retenus par la juridiction cantonale à propos de D.________ Sàrl sont en effet manifestement inexacts, si bien qu'il y a lieu de les rectifier d'office ( art. 105 al. 2 LTF ). La juridiction cantonale a en effet omis de prendre en considération le document établi par la fiduciaire F.________ SA faisant état du bilan et du compte de profits et pertes de la société D.________ Sàrl pour l'année 2008. Il en ressort que des honoraires pour un montant de 75'000 fr. et 95'000 fr. ont été comptabilisés à titre de produits d'exploitation pour les années 2007 et 2008. Le fait que les sommes en cause n'ont pas été encaissées durant l'année au cours de laquelle elles ont été comptabilisées importe peu (cf. arrêt 9C_729/2010 du 3 mai 2011 consid. 4.6). Dans ces conditions, il convient d'admettre le recours et d'annuler le jugement attaqué ainsi que les décisions sur opposition des 14 mars et 21 août 2013, en tant qu'elles concernent B.________. Le Tribunal fédéral ajoutera néanmoins qu'il nourrit de très sérieux doutes quant au bien-fondé de la qualification opérée par la juridiction cantonale quant à la nature du revenu versé par la société A.________ Sàrl à E.________ et B.________, eu égard, notamment, à la discordance manifeste entre la nature des mandats confiés par la société A.________ Sàrl et l'importance des honoraires encaissés par E.________ et B.________. Vu l'absence de recours de la part de l'intimée, le Tribunal fédéral s'abstiendra toutefois d'examiner plus avant cette question.</w:t>
      </w:r>
    </w:p>
    <w:p>
      <w:r>
        <w:rPr>
          <w:b/>
        </w:rPr>
        <w:t>E. 5</w:t>
      </w:r>
    </w:p>
    <w:p>
      <w:r>
        <w:t>Vu l'issue du litige, les frais de justice seront supportés par l'intimée qui succombe ( art. 66 al. 1 LTF ). La recourante ne peut pas prétendre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