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9C_746/2019 vom 25. Februar 2020</w:t>
      </w:r>
    </w:p>
    <w:p>
      <w:r>
        <w:t>Bundesgericht, 2020-02-25, FR</w:t>
      </w:r>
    </w:p>
    <w:p>
      <w:r>
        <w:rPr>
          <w:b/>
        </w:rPr>
        <w:t xml:space="preserve">Quelle: </w:t>
      </w:r>
      <w:r>
        <w:t>https://mcp.opencaselaw.ch/entscheid/bger_9C_746_2019</w:t>
      </w:r>
    </w:p>
    <w:p>
      <w:r>
        <w:t>FR: TF 9C_746/2019 du 25 février 2020</w:t>
      </w:r>
    </w:p>
    <w:p>
      <w:r>
        <w:t>IT: TF 9C_746/2019 del 25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9C_746/2019</w:t>
      </w:r>
    </w:p>
    <w:p>
      <w:r>
        <w:t>Ordonnance du 25 février 2020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représentée par Me Pierre Gabus, avocat,</w:t>
      </w:r>
    </w:p>
    <w:p>
      <w:r>
        <w:t>recourante,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(retrait du recours),</w:t>
      </w:r>
    </w:p>
    <w:p>
      <w:r>
        <w:t>recours contre le jugement de la Cour de justice de la République et canton de Genève, Chambre des assurances sociales, du 10 septembre 2019 (A/2307/2019 ATAS/814/2019).</w:t>
      </w:r>
    </w:p>
    <w:p>
      <w:r>
        <w:t>Vu :</w:t>
      </w:r>
    </w:p>
    <w:p>
      <w:r>
        <w:t>la lettre du 21 février 2020 par laquelle A.________ a déclaré retirer le recours interjeté le 4 novembre 2019 contre un jugement de la Cour de justice de la République et canton de Genève, Chambre des assurances sociales, du 10 septembre 2019,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que, suivant l' art. 66 al. 2 LTF , il sied de statuer sans frais,</w:t>
      </w:r>
    </w:p>
    <w:p>
      <w:r>
        <w:t>par ces motifs, le Président ordonne 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25 février 2020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