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9C_746/2015 vom 21. Dezember 2015</w:t>
      </w:r>
    </w:p>
    <w:p>
      <w:r>
        <w:t>Bundesgericht, 2015-12-21, DE</w:t>
      </w:r>
    </w:p>
    <w:p>
      <w:r>
        <w:rPr>
          <w:b/>
        </w:rPr>
        <w:t xml:space="preserve">Quelle: </w:t>
      </w:r>
      <w:r>
        <w:t>https://mcp.opencaselaw.ch/entscheid/bger_9C_746_2015</w:t>
      </w:r>
    </w:p>
    <w:p>
      <w:r>
        <w:t>FR: TF 9C_746/2015 du 21 décembre 2015</w:t>
      </w:r>
    </w:p>
    <w:p>
      <w:r>
        <w:t>IT: TF 9C_746/2015 del 21 dicembre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(SVR 2011 IV Nr. 1 S. 1, 8C_972/2009 E. 3.2; Urteil 9C_379/2014 vom 26. August 2014 E. 3.2). Liegt in diesem Sinne ein Revisionsgrund vor, ist der Rentenanspruch in rechtlicher und tatsächlicher Hinsicht allseitig zu prüfen ( BGE 117 V 198 E. 4b S. 200; Urteil 9C_226/2013 vom 4. September 2013 mit weiteren Hinweisen).</w:t>
      </w:r>
    </w:p>
    <w:p>
      <w:r>
        <w:rPr>
          <w:b/>
        </w:rPr>
        <w:t>E. 3.1</w:t>
      </w:r>
    </w:p>
    <w:p>
      <w:r>
        <w:t>Die Vorinstanz hat dem polydisziplinären Gutachten der medizinischen Abklärungsstelle B.________ vom 8. Juli 2014 Beweiskraft beigemessen und gestützt darauf sowohl für die bisherige Arbeit (Reinigungskraft, Mitarbeiterin in Cafeteria) als auch für angepasste Tätigkeiten eine uneingeschränkte Arbeitsfähigkeit festgestellt. Weiter hat sie im Vergleich zum Zeitpunkt der ursprünglichen Rentenzusprache eine wesentliche Verbesserung des Gesundheitszustandes festgestellt und damit die Voraussetzungen für eine Rentenrevision nach Art. 17 Abs. 1 ATSG bejaht. Folglich hat sie die Rentenaufhebung bestätigt.</w:t>
      </w:r>
    </w:p>
    <w:p>
      <w:r>
        <w:rPr>
          <w:b/>
        </w:rPr>
        <w:t>E. 3.2</w:t>
      </w:r>
    </w:p>
    <w:p>
      <w:r>
        <w:t>Die Beschwerdeführerin stellt einzig in Abrede, dass bis zum Erlass der rentenaufhebenden Verfügung vom 16. Oktober 2014 eine Verbesserung des Gesundheitszustandes eingetreten und damit ein Revisionsgrund gegeben sein soll. Dabei beruft sie sich insbesondere auf eine vom 2. Juni bis zum 15. August 2014 im Sanatorium C.________ erfolgte stationäre Behandlung und den entsprechenden Austrittsbericht vom 12. September 2014.</w:t>
      </w:r>
    </w:p>
    <w:p>
      <w:r>
        <w:rPr>
          <w:b/>
        </w:rPr>
        <w:t>E. 4.1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4.2</w:t>
      </w:r>
    </w:p>
    <w:p>
      <w:r>
        <w:t>Das kantonale Gericht hat festgestellt, dass sich die ursprüngliche Rentenzusprache auf das Gutachten der medizinischen Fachstelle D.________ vom 19. August 2008 gestützt habe. Darin sei aufgrund einer leichten bis mittelgradigen depressiven Episode und einer anhaltenden somatoformen Schmerzstörung eine Einschränkung der Arbeitsfähigkeit von 50 % (ab Dezember 2006) resp. 30 % (ab Juni 2008) attestiert worden. Die Ärzte der medizinischen Abklärungsstelle B.________ seien der Auffassung, dass sich "allenfalls" noch eine leichtgradige depressive Episode diagnostizieren lasse. Insofern könne von einer Verbesserung ausgegangen werden. Das bestätige eine Gegenüberstellung der jeweiligen Befunde: Im Zeitpunkt der Begutachtung der medizinischen Fachstelle D.________ hätten Ängste vor dem Alleinsein, eine Antriebsstörung, Schlafschwierigkeiten und teilweise paranoid gefärbte Gedanken vorgelegen. Solche Befunde seien im Gutachten der medizinischen Abklärungsstelle B.________ und im Austrittsbericht des Sanatoriums C.________ nicht mehr erwähnt worden.</w:t>
      </w:r>
    </w:p>
    <w:p>
      <w:r>
        <w:rPr>
          <w:b/>
        </w:rPr>
        <w:t>E. 4.3.1</w:t>
      </w:r>
    </w:p>
    <w:p>
      <w:r>
        <w:t>Dass in Bezug auf ein allfälliges somatisches Leiden und eine anhaltende somatoforme Schmerzstörung lediglich eine unterschiedliche Beurteilung eines unveränderten Gesundheitszustandes vorliegt, ändert nichts daran, dass die Gutachter der medizinischen Abklärungsstelle B.________ ein "namhaftes depressives Syndrom" aufgrund der erhobenen Befunde "nicht mehr" feststellen konnten. Eine solche Diagnose war indessen für die Rentenzusprache resp. für die damalige Annahme einer eingeschränkten Arbeitsfähigkeit - auch angesichts der damals geltenden Rechtsprechung von BGE 130 V 352 - kausal (vgl. Gutachten der medizinischen Fachstelle D.________ S. 20 Ziff. 7.4). Demnach ist eine Verbesserung in diesem Bereich anspruchsrelevant.</w:t>
      </w:r>
    </w:p>
    <w:p>
      <w:r>
        <w:t>Eine Verbesserung des Gesundheitszustandes resp. der Erwerbsfähigkeit ist in der Regel zu berücksichtigen, wenn sie drei Monate anhält (vgl. Art. 88a Abs. 1 IVV [SR 831.201]). Das gilt auch dann, wenn bei einer chronifizierten depressiven Störung eine Schwankung im Schweregrad krankheitstypisch ist (vgl. Urteil 8C_308/2013 vom 8. November 2013 E. 3.2.2), wie die Versicherte geltend macht.</w:t>
      </w:r>
    </w:p>
    <w:p>
      <w:r>
        <w:rPr>
          <w:b/>
        </w:rPr>
        <w:t>E. 4.3.2</w:t>
      </w:r>
    </w:p>
    <w:p>
      <w:r>
        <w:t>Selbst wenn sich die Experten der medizinischen Abklärungsstelle B.________ nicht explizit mit der im Gutachten der medizinischen Fachstelle D.________ diagnostizierten leichten bis mittelgradigen depressiven Episode auseinandersetzten (vgl. Gutachten der medizinischen Abklärungsstelle B.________ S. 35 Ziff. 2.4.4), ist ihre Annahme einer diesbezüglichen Verbesserung des Gesundheitszustandes begründet: Bereits die Ärzte der medizinischen Fachstelle D.________ stellten im Vergleich zum Vorzustand im Oktober 2007 (vgl. Bericht der psychiatrischen Klinik E.________ vom 7. November 2007) eine gewisse Gesundung fest, und die Befunde, die anlässlich der Untersuchung durch die Ärzte der medizinischen Abklärungsstelle B.________ im März 2014 erhoben werden konnten, sprechen klar für eine weitere Besserung. Die Vorinstanz hielt diese Entwicklung - insbesondere vor dem Hintergrund, dass die Begutachtung der medizinischen Fachstelle D.________ nur wenige Monate nach dem Tod des Ehemannes der Versicherten erfolgte - denn auch zu Recht für nachvollziehbar.</w:t>
      </w:r>
    </w:p>
    <w:p>
      <w:r>
        <w:rPr>
          <w:b/>
        </w:rPr>
        <w:t>E. 4.3.3</w:t>
      </w:r>
    </w:p>
    <w:p>
      <w:r>
        <w:t>Sodann trug die Vorinstanz auch der Zeit zwischen der Untersuchung durch die Ärzte der medizinischen Abklärungsstelle B.________ und dem Erlass der angefochtenen Verfügung Rechnung: Zwar wurde die Beschwerdeführerin in diesem Zeitraum während rund zehn Wochen im Sanatorium C.________ stationär behandelt und stellten die behandelnden Ärzte im entsprechenden Austrittsbericht u.a. eine "rezidivierende depressive Störung, gegenwärtig mittelgradige Episode" fest. Diese werteten sie indessen lediglich als Nebendiagnose neben der - grundsätzlich nicht invalidisierenden (vgl. SVR 2012 BVG Nr. 14 S. 61, 9C_213/2011 E. 4.4.2) - Hauptdiagnose "psychische und Verhaltensstörungen durch Sedativa oder Hypnotika: Abhängigkeitssyndrom". Eine nähere Begründung der Depressionsdiagnose fehlt. Die Beschwerdeführerin macht denn auch zu Recht nicht geltend, dass im Austrittsbericht psychiatrische Befunde aufgeführt werden, die mit den im Gutachten der medizinischen Fachstelle D.________ erwähnten vergleichbar sind. Zudem sind ohnehin nicht die Befunde beim Eintritt, sondern beim Austritt aus dem Sanatorium entscheidend. Die behandelnden Ärzte stellten diesbezüglich u.a. fest, dass sich das psychische Zustandsbild der Patientin im Laufe der Hospitalisation verbessert habe und sie "in die alten Verhältnisse" habe entlassen werden können. Zudem verwiesen sie insbesondere auf die Diskrepanz zwischen subjektiven Beschwerden und objektivierbaren Befunden sowie ein ausgeprägtes "Vermeidungsverlangen" (recte wohl: Vermeidungsverhalten) und eine grobe Passivität. Eine Arbeitsunfähigkeit attestierten sie nicht. Über den weiteren Verlauf sind keine medizinischen Unterlagen aktenkundig. Unter diesen Umständen gab resp. gibt die stationäre Behandlung keinen Anlass zur Annahme, dass sich die gesundheitliche Situation bei Erlass der angefochtenen Verfügung wesentlich von jener bei der Begutachtung der medizinischen Abklärungsstelle B.________ unterschieden haben soll.</w:t>
      </w:r>
    </w:p>
    <w:p>
      <w:r>
        <w:rPr>
          <w:b/>
        </w:rPr>
        <w:t>E. 4.4</w:t>
      </w:r>
    </w:p>
    <w:p>
      <w:r>
        <w:t>Nach dem Gesagten sind die vorinstanzlichen Feststellungen betreffend die gesundheitliche Entwicklung (E. 3.1 und 4.2) nicht offensichtlich unrichtig (E. 1.2), auch wenn der Regionale Ärztliche Dienst - ohne Begründung - eine uneingeschränkte Arbeitsfähigkeit bereits ab 2008 für "wahrscheinlich" hielt. Die Feststellungen beruhen auch nicht auf einer Rechtsverletzung, weshalb sie für das Bundesgericht verbindlich bleiben (E. 1.1). Somit ist ein Revisionsgrund im Sinne von Art. 17 Abs. 1 ATSG ausgewiesen.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