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746/2011 vom 22. November 2011</w:t>
      </w:r>
    </w:p>
    <w:p>
      <w:r>
        <w:t>Bundesgericht, 2011-11-22, DE</w:t>
      </w:r>
    </w:p>
    <w:p>
      <w:r>
        <w:rPr>
          <w:b/>
        </w:rPr>
        <w:t xml:space="preserve">Quelle: </w:t>
      </w:r>
      <w:r>
        <w:t>https://mcp.opencaselaw.ch/entscheid/bger_9C_746_2011</w:t>
      </w:r>
    </w:p>
    <w:p>
      <w:r>
        <w:t>FR: TF 9C 746/2011 du 22 novembre 2011</w:t>
      </w:r>
    </w:p>
    <w:p>
      <w:r>
        <w:t>IT: TF 9C 746/2011 del 22 novembre 2011</w:t>
      </w:r>
    </w:p>
    <w:p>
      <w:pPr>
        <w:pStyle w:val="Heading2"/>
      </w:pPr>
      <w:r>
        <w:t>Regeste</w:t>
      </w:r>
    </w:p>
    <w:p>
      <w:r>
        <w:t>Invalidenversicherung (Prozessvoraussetzung) | Invalidenversicherung</w:t>
      </w:r>
    </w:p>
    <w:p>
      <w:pPr>
        <w:pStyle w:val="Heading2"/>
      </w:pPr>
      <w:r>
        <w:t>Erwägungen</w:t>
      </w:r>
    </w:p>
    <w:p>
      <w:r>
        <w:rPr>
          <w:b/>
        </w:rPr>
        <w:t>E. 1</w:t>
      </w:r>
    </w:p>
    <w:p>
      <w:r>
        <w:t>Das Bundesgericht prüft von Amtes wegen und mit freier Kognition, ob ein Rechtsmittel zulässig ist ( BGE 135 III 1 E. 1.1 S. 3). Die Beschwerde an das Bundesgericht ist zulässig gegen das Verfahren abschliessende Endentscheide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BGE 133 V 645 E. 2.1 S. 647; 133 V 477 E. 5.2 S. 483)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alleine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(SVR 2008 IV Nr. 39 S. 131, 9C_684/2007 E. 1.1).</w:t>
      </w:r>
    </w:p>
    <w:p>
      <w:r>
        <w:rPr>
          <w:b/>
        </w:rPr>
        <w:t>E. 2</w:t>
      </w:r>
    </w:p>
    <w:p>
      <w:r>
        <w:t>Es kann offenbleiben, inwieweit es sich bei der Rüge, der angefochtene Entscheid sei nicht in richtiger Besetzung gefällt worden, um eine Zuständigkeitsfrage handelt. So oder anders liegt keine Verletzung der Entscheidkompetenz vor.</w:t>
      </w:r>
    </w:p>
    <w:p>
      <w:r>
        <w:rPr>
          <w:b/>
        </w:rPr>
        <w:t>E. 2.1</w:t>
      </w:r>
    </w:p>
    <w:p>
      <w:r>
        <w:t>Nach dem st. gallischen Gerichtsgesetz und der kantonalen Verordnung über die Organisation und den Geschäftsgang des Versicherungsgerichts (sGS 941.1; 941.114) können zum Entscheid über einfache Fälle Einzelrichter vorgesehen werden (Art. 17 Abs. 2 Gerichtsgesetz); als einfache Fälle gelten insbesondere Streitsachen mit einem unbestrittenen oder eindeutigen Sachverhalt, die aufgrund einer klaren Rechtslage und einer feststehenden Gerichtspraxis beurteilt werden können (Art. 19 Abs. 1 und 2 Organisationsverordnung).</w:t>
      </w:r>
    </w:p>
    <w:p>
      <w:r>
        <w:rPr>
          <w:b/>
        </w:rPr>
        <w:t>E. 2.2</w:t>
      </w:r>
    </w:p>
    <w:p>
      <w:r>
        <w:t>Diese Regelung genügt den für den Bereich der Invalidenversicherung bundesrechtlich gestellten Anforderungen an das kantonale Rechtspflegeverfahren ( Art. 61 ATSG i.V.m. Art. 1 Abs. 3 VwVG und Art. 69 IVG ). Die Rüge, der Einzelrichter habe seine Kompetenz überschritten, da er nicht von einem unbestrittenen oder eindeutigen Sachverhalt hätte ausgehen dürfen, ist unbegründet. Es war nicht über einen für einen Sachentscheid relevanten Sachverhalt zu entscheiden, sondern lediglich, dass der erste vorinstanzliche Entscheid noch nicht umgesetzt worden war. Dies festzustellen lag - angesichts der insofern eindeutigen Verhältnisse - in der Kompetenz des Einzelrichters. Sein Entscheid verstösst somit nicht gegen die Garantie des gesetzmässigen Richters gemäss Art. 30 Abs. 1 BV , worauf sich die Beschwerdeführerin beruft.</w:t>
      </w:r>
    </w:p>
    <w:p>
      <w:r>
        <w:rPr>
          <w:b/>
        </w:rPr>
        <w:t>E. 3</w:t>
      </w:r>
    </w:p>
    <w:p>
      <w:r>
        <w:t>Was die einzelrichterliche Rückweisung vom 25. August 2011 betrifft, ist die Beschwerde unzulässig: Wenn die Beschwerdeführerin die an sich unbestrittene Nichtumsetzung des ersten kantonalen Entscheides damit begründet, es sei nicht einzusehen, warum dem psychisch gesunden Versicherten der Wechsel von einer selbstständigen zu einer unselbstständigen Tätigkeit unzumutbar sein solle, ist nicht ersichtlich, inwieweit ihr ohne ein schon jetzt letztinstanzlich gefälltes Sachurteil ein nicht wieder gutzumachender Nachteil entstehen könnte. Die Vorinstanz hat nie Anordnungen getroffen, die die Verwaltung materiell-rechtlich binden und zwingen würden, eine aus ihrer Sicht rechtswidrige Verfügung zu treffen (siehe BGE 133 V 477 E. 5.2, 5.2.1-5.2.4 S. 483 ff.; Urteile 8C_531/2008 vom 8. April 2009 E. 1.2.1 mit Hinweisen und 8C_682/2007 vom 30. Juli 2008 E. 1.2.1). Zudem kann nach ständiger Rechtsprechung (vgl. Urteil 9C_329/2011 vom 27. September 2011 E. 3.3 mit zahlreichen Hinweisen) durch die Aufhebung von Rückweisungsentscheiden, mit denen einzig eine ergänzende Sachverhaltsabklärung angeordnet wird, grundsätzlich auch kein bedeutender Aufwand an Zeit oder Kosten für ein weitläufiges Beweisverfahren erspart werden. Die selbstständige Anfechtbarkeit von Zwischenentscheiden aus prozessökonomischen Gründen stellt insoweit eine restriktiv zu handhabende Ausnahme dar.</w:t>
      </w:r>
    </w:p>
    <w:p>
      <w:r>
        <w:rPr>
          <w:b/>
        </w:rPr>
        <w:t>E. 4</w:t>
      </w:r>
    </w:p>
    <w:p>
      <w:r>
        <w:t>Bei diesem Ausgang des Verfahrens wird die unterliegende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