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745/2014 vom 4. November 2014</w:t>
      </w:r>
    </w:p>
    <w:p>
      <w:r>
        <w:t>Bundesgericht, 2014-11-04, DE</w:t>
      </w:r>
    </w:p>
    <w:p>
      <w:r>
        <w:rPr>
          <w:b/>
        </w:rPr>
        <w:t xml:space="preserve">Quelle: </w:t>
      </w:r>
      <w:r>
        <w:t>https://mcp.opencaselaw.ch/entscheid/bger_9C_745_2014</w:t>
      </w:r>
    </w:p>
    <w:p>
      <w:r>
        <w:t>FR: TF 9C 745/2014 du 4 novembre 2014</w:t>
      </w:r>
    </w:p>
    <w:p>
      <w:r>
        <w:t>IT: TF 9C 745/2014 del 4 novembre 2014</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hinsichtlich der seinerzeitigen Regelung nach dem auf Ende 2006 aufgehobenen OG).</w:t>
      </w:r>
    </w:p>
    <w:p>
      <w:r>
        <w:rPr>
          <w:b/>
        </w:rPr>
        <w:t>E. 2</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Hierauf wird verwiesen.</w:t>
      </w:r>
    </w:p>
    <w:p>
      <w:r>
        <w:rPr>
          <w:b/>
        </w:rPr>
        <w:t>E. 3</w:t>
      </w:r>
    </w:p>
    <w:p>
      <w:r>
        <w:t>Des Weitern hat das kantonale Gericht - wobei es die hievor (E. 1) angeführte Kognitionsregelung zu beachten gilt - insbesondere gestützt auf die polydisziplinäre Expertise der MEDAS B._________ vom 1. März 2013 (vgl. auch die zusätzliche Stellungnahme des orthopädischen MEDAS-Gutachters vom 2. Juli 2013) zutreffend erkannt, dass der Beschwerdeführer wegen seiner Schulter- und Rückenbeschwerden seine frühere, körperlich teilweise schwere Arbeit auf dem Bau behinderungsbedingt nicht mehr auszuüben vermag, hingegen einer leidensangepassten Erwerbstätigkeit (körperlich leicht bis mittelschwer, wechselbelastend) schon seit Frühjahr 2012 uneingeschränkt nachgehen und damit ein rentenausschliessendes Einkommen erzielen könnte.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keine weiteren ärztlichen Abklärungen erforderlich seien). In der Beschwerdeschrift werden praktisch ausschliesslich blosse Tat- und Ermessensfragen aufgeworfen, welche - wie dargelegt - der freien Überprüfung durch das Bundesgericht von vornherein entzogen sind. Soweit der Beschwerdeführer beanstandet, die Vorinstanz habe hinsichtlich der diagnostizierten Dysthymie (ICD-10 F34.1) die sog. Foerster-Kriterien nicht angewandt, ist ihm entgegenzuhalten, dass dieses Leiden im massgebenden MEDAS-Gutachten unter den Diagnosen "ohne Einfluss auf die Arbeitsfähigkeit" angeführt wird. Eine invalidisierende Wirkung kann ihm nicht zugeschrieben werden. Mit Blick auf die vom kantonalen Gericht nicht offensichtlich unrichtig (und damit für das Bundesgericht verbindlich) auf 100 % veranschlagte Leistungsfähigkeit in leidensangepasster Erwerbstätigkeit fällt beim Invalideneinkommen ein Abzug vom Tabellenlohn für das Kriterium "reduzierter Beschäftigungsgrad" naturgemäss ausser Betracht. Schliesslich begründet auch der Umstand, dass der Versicherte in seinem letzten Arbeitsverhältnis über 23 Jahre in der Baubranche gearbeitet hat, nach den zutreffenden Erwägungen der Vorinstanz keinen Abzug vom Tabellenlohn: Der Einwand des Beschwerdeführers, er habe an seiner Stelle ausschliesslich (körperlich) schwere Arbeiten verrichten müssen, ist nämlich aktenwidrig. Gemäss Arbeitszeugnis der früheren Arbeitgeberfirma vom 17. Januar 2011 hatte er als Führer einer Baugruppe auch körperlich leichte Tätigkeiten zu verrichten wie das Erstellen von Arbeits- und Maschinenrapporten, die Organisation von Baustellen, das Erstellen von Material- und Bestell-Listen, die Koordination mit der Bauleitung, die Teilnahme an Baustellensitzungen sowie die Vertretung der Bauführung an Koordinationssitzungen. Die dabei erworbenen Kompetenzen erlauben den Schluss, dass der Versicherte die verbliebene Arbeitsfähigkeit auf dem allgemeinen Arbeitsmarkt nicht bloss mit unterdurchschnittlichem erwerblichen Erfolg verwerten kann.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