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9C_745/2010 vom 30. März 2011</w:t>
      </w:r>
    </w:p>
    <w:p>
      <w:r>
        <w:t>Bundesgericht, 2011-03-30, FR</w:t>
      </w:r>
    </w:p>
    <w:p>
      <w:r>
        <w:rPr>
          <w:b/>
        </w:rPr>
        <w:t xml:space="preserve">Quelle: </w:t>
      </w:r>
      <w:r>
        <w:t>https://mcp.opencaselaw.ch/entscheid/bger_9C_745_2010</w:t>
      </w:r>
    </w:p>
    <w:p>
      <w:r>
        <w:t>FR: TF 9C_745/2010 du 30 mars 2011</w:t>
      </w:r>
    </w:p>
    <w:p>
      <w:r>
        <w:t>IT: TF 9C_745/2010 del 30 marzo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Les premiers juges ont estimé que la recourante présentait une capacité résiduelle de travail de 100% dans une activité adaptée. Ils ont constaté que les nombreuses investigations menées pour déterminer un diagnostic exact n'avaient pas abouti et que peu de médecins s'étaient prononcés sur la capacité résiduelle de travail de la recourante. Dans ce contexte, ils ont considéré qu'il n'y avait pas lieu de s'écarter du rapport du docteur T.________, qui satisfaisait aux réquisits jurisprudentiels en matière de valeur probante, même si ce médecin ne disposait «que» d'un titre de médecin généraliste. En revanche, bien qu'il attestât d'une capacité de travail de 50%, le rapport du docteur W.________ était trop faiblement motivé pour qu'il puisse être retenu. Établi postérieurement à la décision administrative, le rapport du docteur D.________ ne pouvait, quant à lui, être utile à la recourante que dans le cadre d'une éventuelle procédure de révision. Dans tous les cas, ce document ne rendait que peu vraisemblable l'existence d'un trouble somatoforme douloureux pendant la période considérée, faute d'éléments en ce sens dans le dossier - notamment de plaintes correspondant aux symptômes d'une telle affection.</w:t>
      </w:r>
    </w:p>
    <w:p>
      <w:r>
        <w:rPr>
          <w:b/>
        </w:rPr>
        <w:t>E. 2.2</w:t>
      </w:r>
    </w:p>
    <w:p>
      <w:r>
        <w:t>La recourante se plaint en substance d'une constatation manifestement inexacte des faits consécutive à une mauvaise appréciation des preuves. L'instance cantonale n'aurait pas dû accorder pleine valeur probante au rapport du docteur T.________, les conditions posées par la jurisprudence n'étant pas remplies. En effet, ce rapport ne reposait pas sur des examens complets et ses conclusions n'étaient pas dûment motivées; qui plus est, le docteur T.________, en tant que médecin généraliste, ne disposait pas des qualifications professionnelles requises pour se prononcer dans le cas d'espèce. Dans ces conditions, les premiers juges auraient dû écarter ce rapport et mettre en oeuvre une expertise pluridisciplinaire portant sur les aspects rhumatologiques et psychiques de la santé de la recourante. Cela s'imposait d'autant plus que les nombreux spécialistes consultés, s'ils avaient pu exclure la présence d'un certain nombre de pathologies, n'étaient, à une exception près, pas parvenus à poser un diagnostic clair et précis.</w:t>
      </w:r>
    </w:p>
    <w:p>
      <w:r>
        <w:rPr>
          <w:b/>
        </w:rPr>
        <w:t>E. 3.1</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 ATF 125 V 351 consid. 3a p. 352; ATF 122 V 157 consid. 1c p. 160 et les références; arrêt 9C_1023/2008 du 30 juin 2009 consid. 2.1.1).</w:t>
      </w:r>
    </w:p>
    <w:p>
      <w:r>
        <w:rPr>
          <w:b/>
        </w:rPr>
        <w:t>E. 3.2</w:t>
      </w:r>
    </w:p>
    <w:p>
      <w:r>
        <w:t>Selon la jurisprudence, la valeur probante d'une expertise dans une discipline médicale particulière dépend du point de savoir si l'expert dispose d'une formation spécialisée dans le domaine concerné. Le titre de spécialiste (FMH) n'en est en revanche pas une condition (arrêt 9C_270/2008 du 12 août 2008 consid. 3.3). Ce qui est déterminant pour le juge, lorsqu'il a à apprécier un rapport médical, ce sont les compétences professionnelles de son auteur, dès lors que l'administration et les tribunaux doivent pouvoir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(arrêt 9C_53/2009 du 29 mai 2009 consid. 4.2 et les arrêts cités). Ce qui précède vaut également pour les rapports établis par un service médical régional de l'assurance-invalidité (SMR; cf. arrêt 9C_323/2009 du 14 juillet 2009 consid. 4.3.1; arrêt I 142/07 du 20 novembre 2007 consid. 3.2.3).</w:t>
      </w:r>
    </w:p>
    <w:p>
      <w:r>
        <w:rPr>
          <w:b/>
        </w:rPr>
        <w:t>E. 3.3</w:t>
      </w:r>
    </w:p>
    <w:p>
      <w:r>
        <w:t>Bien que les rapports d'examen réalisés par un SMR en vertu de l' art. 49 al. 2 RAI ne soient pas des expertises au sens de l' art. 44 LPGA et ne soient pas soumis aux mêmes exigences formelles ( ATF 135 V 254 consid. 3.4 p. 258), ils peuvent néanmoins revêtir la même valeur probatoire que des expertises, dans la mesure où ils satisfont aux exigences, définies par la jurisprudence, qui sont posées à une expertise médicale (arrêt 9C_204/2009 du 6 juillet 2009 consid. 3.3.2 et les références, passage non publié in ATF 135 V 254 ). Même en tenant compte de la jurisprudence récente de la Cour européenne des droits de l'homme, il n'existe en effet pas, dans la procédure d'octroi ou de refus de prestations d'assurances sociales, de droit formel à une expertise menée par un médecin externe à l'assurance ( ATF 135 V 465 consid. 4.3 p. 468). Cela étant, il convient d'ordonner une expertise si des doutes, mêmes faibles, subsistent quant à la fiabilité et à la pertinence des constatations médicales effectuées par le service médical interne de l'assurance ( ATF 135 V 465 consid. 4.6 p. 471).</w:t>
      </w:r>
    </w:p>
    <w:p>
      <w:r>
        <w:rPr>
          <w:b/>
        </w:rPr>
        <w:t>E. 4</w:t>
      </w:r>
    </w:p>
    <w:p>
      <w:r>
        <w:t>Il n'est pas contesté que la recourante souffre de problèmes rachidiens qui, malgré de nombreuses investigations, n'ont pas pu faire l'objet d'un diagnostic clair et précis. Dans ce contexte, le rapport du docteur T.________ ne permet guère d'apprécier les atteintes à la santé de la recourante et leurs répercussions sur sa capacité de travail. Comme le relève la recourante, il n'est que peu détaillé. L'analyse clinique est particulièrement succincte, le statut locomoteur de la recourante faisant notamment l'objet, en tout et pour tout, de moins de quatre lignes. Pour finir, ce médecin ne discute pas les différents éléments ressortant des pièces médicales versées au dossier et ses conclusions ne sont que peu motivées. L'ensemble de ces éléments tend à affaiblir considérablement la valeur probante de son rapport. Compte tenu par ailleurs des avis des médecins traitants (les docteurs W.________ et D.________) à propos de la capacité résiduelle de travail de la recourante, la situation justifiait à l'évidence qu'il soit procédé à des mesures d'instruction complémentaires. Faute d'instruction complète, il convient de renvoyer la cause à l'OAI pour qu'il mette en oeuvre une expertise qui, compte tenu de l'influence potentielle de facteurs psychopathologiques, devra revêtir une forme pluridisciplinaire.</w:t>
      </w:r>
    </w:p>
    <w:p>
      <w:r>
        <w:rPr>
          <w:b/>
        </w:rPr>
        <w:t>E. 5</w:t>
      </w:r>
    </w:p>
    <w:p>
      <w:r>
        <w:t>Vu l'issue du litige, les frais judiciaires sont mis à la charge de l'office intimé (art. 66 al. 1 première phrase LTF) qui versera à la recourante une indemnité de dépens ( art. 68 LTF ). La requête d'assistance judiciaire déposée par la recourante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