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9C_744/2015 vom 26. April 2016</w:t>
      </w:r>
    </w:p>
    <w:p>
      <w:r>
        <w:t>Bundesgericht, 2016-04-26, DE</w:t>
      </w:r>
    </w:p>
    <w:p>
      <w:r>
        <w:rPr>
          <w:b/>
        </w:rPr>
        <w:t xml:space="preserve">Quelle: </w:t>
      </w:r>
      <w:r>
        <w:t>https://mcp.opencaselaw.ch/entscheid/bger_9C_744_2015</w:t>
      </w:r>
    </w:p>
    <w:p>
      <w:r>
        <w:t>FR: TF 9C_744/2015 du 26 avril 2016</w:t>
      </w:r>
    </w:p>
    <w:p>
      <w:r>
        <w:t>IT: TF 9C_744/2015 del 26 aprile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w:t>
      </w:r>
    </w:p>
    <w:p>
      <w:r>
        <w:t>Die Vorinstanz hat zutreffend festgehalten, dass Anspruch auf Invalidenleistungen nach Art. 23 Abs. 1 BVG Personen haben, die im Sinne der Invalidenversicherung zu mindestens 40 % invalid sind und bei Eintritt der Arbeitsunfähigkeit, deren Ursache zur Invalidität geführt hat, versichert waren. Richtig ist auch, dass Invalidenleistungen der obligatorischen beruflichen Vorsorge von derjenigen Vorsorgeeinrichtung geschuldet werden, welcher der Ansprecher bei Eintritt der Arbeitsunfähigkeit, deren Ursache zur Invalidität geführt hat, angeschlossen war ( Art. 23 lit. a BVG ). Ferner hat das kantonale Gericht die Rechtsprechung zur grundsätzlichen Verbindlichkeit der Feststellungen der Invalidenversicherung hinsichtlich des Eintritts der invalidisierenden Arbeitsunfähigkeit, der Eröffnung der Wartezeit und der Festsetzung des Invaliditätsgrades für die obligatorische berufliche Vorsorge korrekt wiedergegeben ( BGE 126 V 308 E. 1 S. 310 f.,    132 V 1 E. 3.2 S. 4). Darauf wird verwiesen.</w:t>
      </w:r>
    </w:p>
    <w:p>
      <w:r>
        <w:rPr>
          <w:b/>
        </w:rPr>
        <w:t>E. 2.2</w:t>
      </w:r>
    </w:p>
    <w:p>
      <w:r>
        <w:t>Das kantonale Gericht ging davon aus, der Beginn des Anspruchs auf eine Rente der Invalidenversicherung sei rechtskräftig auf den 1. Juli 2011 festgelegt worden. Gleiches gelte für das Datum der Eröffnung der einjährigen Wartezeit am 20. Juli 2010. Bezüglich berufsvorsorgerechtlicher Invalidenleistungen sei demnach eine am 20. Juli 2010 eingetretene vollständige Arbeitsunfähigkeit ausgewiesen. Damit sei die grundsätzliche Leistungspflicht der Vorsorgeeinrichtung in der obligatorischen Vorsorge zu bejahen. Im Weiteren prüfte die Vorinstanz die Leistungspflicht der Vorsorgeeinrichtung im überobligatorischen Bereich, verneinte aber einen Anspruch aus der weitergehenden Vorsorge wegen der vom Versicherten begangenen Anzeigepflichtverletzungen.</w:t>
      </w:r>
    </w:p>
    <w:p>
      <w:r>
        <w:rPr>
          <w:b/>
        </w:rPr>
        <w:t>E. 3</w:t>
      </w:r>
    </w:p>
    <w:p>
      <w:r>
        <w:t>Die Pensionskasse wendet zunächst unter Hinweis auf verschiedene Arztberichte ein, der Versicherte sei seit 2005 wiederholt psychisch erkrankt und während längerer Zeit arbeitsunfähig gewesen. Sodann kritisiert sie die Rechtsprechung zur Verbindlichkeit der Feststellungen der Invalidenversicherung für die Vorsorgeeinrichtung. Die Verweisungen in den Art. 23 lit. a, 24 Abs. 1 und 26 Abs. 1 BVG auf die Invalidenversicherung ermächtigten die IV-Stellen nicht zur berufsvorsorgerelevanten Festlegung der Invalidenleistungen nach BVG. Es sei nicht einzusehen, weshalb die Prüfung durch die Vorsorgeeinrichtung von vornherein auf die qualifizierte Fehlerhaftigkeit eingeschränkt werden soll. Im Weiteren fehle es an einem engen sachlichen und zeitlichen Zusammenhang zwischen der während des Vorsorgeverhältnisses bestandenen Arbeitsunfähigkeit und der allenfalls später eintretenden Invalidität. Der Beschwerdegegner sei schon während einer früheren Anstellung im Jahr 2008 längere Zeit arbeitsunfähig gewesen, ebenso während eines Arbeitsverhältnisses, das von Oktober 2008 bis August 2009 dauerte. Die Aussage des Dr. med. C.________, Regionaler Ärztlicher Dienst, welcher ab 20. Juli 2010 eine volle Arbeitsunfähigkeit annahm, sei offensichtlich unrichtig.</w:t>
      </w:r>
    </w:p>
    <w:p>
      <w:r>
        <w:rPr>
          <w:b/>
        </w:rPr>
        <w:t>E. 4.1</w:t>
      </w:r>
    </w:p>
    <w:p>
      <w:r>
        <w:t>Es trifft zu, dass der Beschwerdegegner schon vor der Anstellung bei der B.________ AG wegen eines psychischen Leidens wiederholt während längerer Zeit arbeitsunfähig war. Den Beginn der einjährigen Wartezeit (vgl. Art. 28 Abs. 1 lit. b IVG ) setzte die IV-Stelle indessen auf den 20. Juli 2010 und damit auf einen Zeitpunkt fest, in welchem der Versicherte bei der B.________ AG tätig war. Inwiefern die Vorinstanz den Zeitpunkt der Eröffnung der Wartezeit als Tatfrage gestützt auf die diesbezüglich verbindlichen Feststellungen der Invalidenversicherung (E. 2.1 hievor) offensichtlich unrichtig, d.h. willkürlich (vgl. E. 1 hievor), auf den 20. Juli 2010 und damit auf einen Zeitpunkt festgesetzt habe, in welchem der Beschwerdegegner bei der Beschwerdeführerin versichert war, vermag diese nicht schlüssig zu begründen. Die Beschwerdeführerin hat daher entsprechend dem angefochtenen Entscheid die Invalidenleistungen aus dem Obligatorium zu erbringen. Es wird im Übrigen auf die diesbezüglichen Darlegungen des kantonalen Gerichts verwiesen.</w:t>
      </w:r>
    </w:p>
    <w:p>
      <w:r>
        <w:rPr>
          <w:b/>
        </w:rPr>
        <w:t>E. 4.2</w:t>
      </w:r>
    </w:p>
    <w:p>
      <w:r>
        <w:t>Soweit die Pensionskasse die geltende Rechtsprechung zur Verbindlichkeit der Angaben der Invalidenversicherung für die berufliche Vorsorge in Zweifel zieht, hat sie sich entgegenhalten zu lassen, dass eine Änderung der Rechtsprechung nur unter ganz bestimmten Voraussetzungen in Frage kommt: Sprechen keine entscheidenden Gründe zugunsten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133 V 37 E. 5.3.3 S. 39 mit Hinweisen; zur Publikation in BGE 142 bestimmte E. 5.1 des Urteils 9C_268/2015 vom 3. Dezember 2015). Dass diese Voraussetzungen für eine Änderung der Rechtsprechung zur Verbindlichkeit der Feststellungen der Invalidenversicherung für die obligatorische berufliche Vorsorge gegeben seien, macht die Pensionskasse nicht geltend. Ob ihre Kritik in einzelnen Punkten stichhaltig erscheinen mag, ist mit Blick auf die Kriterien, die rechtsprechungsgemäss erfüllt sein müssen, damit der Grundsatz der Vorrang geniessenden Rechtssicherheit durchbrochen werden könnte, ohne Belang, sodass sich eine Auseinandersetzung mit den beschwerdeweise vorgebrachten Argumenten erübrigt. Weder liegen eine bessere Erkenntnis der ratio legis, veränderte äussere Verhältnisse noch gewandelte Rechtsanschauungen vor.</w:t>
      </w:r>
    </w:p>
    <w:p>
      <w:r>
        <w:rPr>
          <w:b/>
        </w:rPr>
        <w:t>E. 4.3</w:t>
      </w:r>
    </w:p>
    <w:p>
      <w:r>
        <w:t>Mit der Behauptung, es fehle an einem engen sachlichen und zeitlichen Zusammenhang zwischen der während des Vorsorgeverhältnisses eingetretenen Arbeitsunfähigkeit und der später einsetzenden Invalidität, stellt der Beschwerdeführer wiederum die Verbindlichkeit der Festsetzung des Beginns der Wartezeit durch die IV-Stelle in Frage, ohne allerdings deren offensichtliche Unhaltbarkeit ( BGE 126 V 310 E. 1) hinreichend darzutun.</w:t>
      </w:r>
    </w:p>
    <w:p>
      <w:r>
        <w:rPr>
          <w:b/>
        </w:rPr>
        <w:t>E. 5</w:t>
      </w:r>
    </w:p>
    <w:p>
      <w:r>
        <w:t>Dem Verfahrensausgang entsprechend sind die Gerichtskosten der unterliegenden Pensionskasse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