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9C_740/2019 vom 21. Juli 2020</w:t>
      </w:r>
    </w:p>
    <w:p>
      <w:r>
        <w:t>Bundesgericht, 2020-07-21, FR</w:t>
      </w:r>
    </w:p>
    <w:p>
      <w:r>
        <w:rPr>
          <w:b/>
        </w:rPr>
        <w:t xml:space="preserve">Quelle: </w:t>
      </w:r>
      <w:r>
        <w:t>https://mcp.opencaselaw.ch/entscheid/bger_9C_740_2019</w:t>
      </w:r>
    </w:p>
    <w:p>
      <w:r>
        <w:t>FR: TF 9C_740/2019 du 21 juillet 2020</w:t>
      </w:r>
    </w:p>
    <w:p>
      <w:r>
        <w:t>IT: TF 9C_740/2019 del 21 luglio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l'étendue du droit de l'intimée à une rente de l'assurance-invalidité dès le 1er juillet 2016 (demi-rente au lieu du trois quarts de rente alloué par la juridiction cantonale). Le jugement entrepris expose de manière complète les dispositions légales et les principes jurisprudentiels applicables à la notion d'invalidité ( art. 8 LPGA et art. 4 LAI ) et à l'évaluation de l'invalidité des personnes exerçant une activité lucrative à temps partiel et se consacrant en outre à leurs travaux habituels (au moyen de la méthode mixte). Il suffit d'y renvoyer.</w:t>
      </w:r>
    </w:p>
    <w:p>
      <w:r>
        <w:rPr>
          <w:b/>
        </w:rPr>
        <w:t>E. 3</w:t>
      </w:r>
    </w:p>
    <w:p>
      <w:r>
        <w:t>Est seul contesté le point de savoir si l'intimée aurait travaillé sans atteinte à la santé à 54,2 % au 1er juillet 2016, soit au moment déterminant de la naissance de son droit à une rente d'invalidité, ce qui en application de la méthode mixte ouvrirait le droit à trois quarts de rente.</w:t>
      </w:r>
    </w:p>
    <w:p>
      <w:r>
        <w:rPr>
          <w:b/>
        </w:rPr>
        <w:t>E. 3.1</w:t>
      </w:r>
    </w:p>
    <w:p>
      <w:r>
        <w:t>Invoquant une appréciation arbitraire des preuves, l'office AI reproche à la juridiction cantonale d'avoir retenu que l'intimée aurait eu la volonté de maintenir, sans atteinte à la santé, le taux d'activité de 54,2 % qu'elle avait cumulé auprès de différents employeurs d'octobre 2013 à juillet 2014. Il soutient qu'un taux d'activité de 47,7 % au maximum devait être retenu car il reflétait la moyenne du taux d'activité cumulé de l'intimée du 25 juillet 2013 au 14 juillet 2015, soit pendant une période de temps suffisamment représentative pour établir sa volonté hypothétique. Avec un taux d'occupation de 47,7 % l'assurée aurait droit à une demi-rente d'invalidité.</w:t>
      </w:r>
    </w:p>
    <w:p>
      <w:r>
        <w:rPr>
          <w:b/>
        </w:rPr>
        <w:t>E. 3.2</w:t>
      </w:r>
    </w:p>
    <w:p>
      <w:r>
        <w:t>L'office AI se limite en l'espèce à exposer son appréciation des faits à la suite du résumé de celle qui figure dans l'arrêt attaqué, puis de taxer cette dernière d'arbitraire car elle se fonde sur une "période isolée" de dix mois. Il ne prétend pas que la juridiction cantonale aurait cependant arbitrairement omis de constater que l'intimée avait souhaité baisser son taux d'activité dès août 2014 ou qu'elle se serait ultérieurement satisfaite d'un taux d'activité inférieur à celui de 54,2 %. Au contraire, l'intimée a affirmé lors de sa comparution personnelle devant les premiers juges qu'elle avait débuté une activité supplémentaire de deux heures par semaine auprès de la société I.________ dès le mois d'août 2014, tandis que la société F.________ SA a indiqué à l'office AI que l'assurée aurait augmenté son temps de travail sans atteinte à la santé en 2015 (passant de 8,60 à "env. 10" heures par semaine; communication du 10 novembre 2015). Il existe par conséquent des indices concrets que l'intimée avait cherché à pallier la baisse de son taux d'activité avant la survenance de son atteinte à la santé et qu'elle n'entendait donc pas s'en satisfaire. Dans ces circonstances, la juridiction cantonale pouvait retenir sans arbitraire que l'intimée aurait vraisemblablement cherché à maintenir, si elle eût été en bonne santé, un taux d'activité d'au moins 54,2 % au 1er juin 2016 (sur la volonté hypothétique d'un assuré, voir ATF 144 I 28 consid. 2.3 p. 30 et les références). Il n'y a pas lieu de s'écarter de l'appréciation des preuves des premiers juges.</w:t>
      </w:r>
    </w:p>
    <w:p>
      <w:r>
        <w:rPr>
          <w:b/>
        </w:rPr>
        <w:t>E. 4</w:t>
      </w:r>
    </w:p>
    <w:p>
      <w:r>
        <w:t>Mal fondé, le recours doit être rejeté. Le présent arrêt rend sans objet la requête d'effet suspensif présentée par l'office recourant.</w:t>
      </w:r>
    </w:p>
    <w:p>
      <w:r>
        <w:t>L'office AI, qui succombe, supportera les frais judiciaires ( art. 66 al. 1 LTF ). Bien qu'elle obtienne gain de cause, l'intimée, qui n'est pas représentée, n'a pas droit à des dépens ( art. 68 al. 1 et 2 LTF ; ATF 135 III 127 consid. 4 p. 136;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