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740/2012 vom 22. Oktober 2012</w:t>
      </w:r>
    </w:p>
    <w:p>
      <w:r>
        <w:t>Bundesgericht, 2012-10-22, IT</w:t>
      </w:r>
    </w:p>
    <w:p>
      <w:r>
        <w:rPr>
          <w:b/>
        </w:rPr>
        <w:t xml:space="preserve">Quelle: </w:t>
      </w:r>
      <w:r>
        <w:t>https://mcp.opencaselaw.ch/entscheid/bger_9C_740_2012</w:t>
      </w:r>
    </w:p>
    <w:p>
      <w:r>
        <w:t>FR: TF 9C 740/2012 du 22 octobre 2012</w:t>
      </w:r>
    </w:p>
    <w:p>
      <w:r>
        <w:t>IT: TF 9C 740/2012 del 22 ottobre 2012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ricorso in materia di diritto pubblico può essere presentato per violazione del diritto conformemente agli art. 95 e 96 LTF . Il Tribunale federale fonda la sua sentenza sui fatti accertati dall'autorità inferiore ( art. 105 cpv. 1 LTF ). Può scostarsi da questo accertamento solo qualora esso sia avvenuto in modo manifestamente inesatto, ovvero arbitrario ( DTF 134 V 53 consid. 4.3 pag. 62), oppure in violazione del diritto ai sensi dell' art. 95 LTF ( art. 105 cpv. 2 LTF ). Salvo i casi in cui tale inesattezza sia lampante (cfr. DTF 133 IV 286 consid. 6.2 pag. 288 in fine), la parte ricorrente che intende contestare i fatti accertati dall'autorità inferiore deve spiegare, in maniera circostanziata, per quale motivo ritiene che le condizioni di una delle eccezioni previste dall' art. 105 cpv. 2 LTF sarebbero realizzate; in caso contrario non si può tener conto di uno stato di fatto diverso da quello posto a fondamento della decisione impugnata (cfr. DTF 133 II 249 consid. 1.4.3 pag. 254 con riferimento).</w:t>
      </w:r>
    </w:p>
    <w:p>
      <w:r>
        <w:rPr>
          <w:b/>
        </w:rPr>
        <w:t>E. 1.2</w:t>
      </w:r>
    </w:p>
    <w:p>
      <w:r>
        <w:t>Conformemente all'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La parte ricorrente non può limitarsi a riproporre genericamente argomenti giuridici già esposti dinanzi alle autorità cantonali, bensì deve confrontarsi criticamente con i considerandi della decisione dell'autorità inferiore che reputa lesivi del diritto (cfr. DTF 121 III 397 consid. 2a pag. 400).</w:t>
      </w:r>
    </w:p>
    <w:p>
      <w:r>
        <w:rPr>
          <w:b/>
        </w:rPr>
        <w:t>E. 2.1</w:t>
      </w:r>
    </w:p>
    <w:p>
      <w:r>
        <w:t>Nel contestare la valutazione dell'istanza precedente, la ricorrente si limita in gran parte a riprendere testualmente le considerazioni espresse in sede cantonale e non si confronta di riflesso, come dovrebbe, con le argomentazioni sviluppate dal Tribunale cantonale. In questa misura il ricorso pone evidenti problemi di ammissibilità ( DTF 134 II 244 ). Ma anche laddove non si esaurisce in una ripresa bella e semplice del gravame cantonale, l'atto ricorsuale non spiega in quale misura l'apprezzamento del primo giudice in merito al grado residuo di incapacità lavorativa dell'assicurata o all'accertamento dei redditi di riferimento per la valutazione dell'invalidità sarebbe arbitrario o comunque contrario al diritto (v. DTF 132 V 393 ).</w:t>
      </w:r>
    </w:p>
    <w:p>
      <w:r>
        <w:rPr>
          <w:b/>
        </w:rPr>
        <w:t>E. 2.2</w:t>
      </w:r>
    </w:p>
    <w:p>
      <w:r>
        <w:t>Non basta così certamente a rendere qualificatamente errato l'accertamento dell'autorità giudiziaria cantonale l'apodittica contestazione che il giudizio impugnato avrebbe misconosciuto la portata e la concludenza degli atti medici forniti dalla ricorrente e sarebbe così incorso nell'arbitrio o in una non meglio precisata violazione del principio costituzionale dell'uguaglianza giuridica ( art. 8 Cost. ; sull'obbligo, accresciuto, di motivazione di una pretesa violazione di un diritto fondamentale cfr. art. 106 cpv. 2 LTF nonché DTF 134 II 244 consid. 2.2 pag. 246 con riferimenti). La ricorrente dimentica del resto che il primo giudice ha dettagliatamente spiegato i motivi che l'hanno condotto ad attribuire pieno valore probatorio alle conclusioni, motivate e convincenti, del SAM e a preferirle a quelle degli altri specialisti intervenuti, le cui valutazioni non hanno effettivamente - come rilevato senza il minimo arbitrio dal primo giudice - messo in evidenza elementi tali da fare dubitare della loro attendibilità quantomeno per il periodo determinante in esame ( DTF 132 V 215 consid. 3.1.1 pag. 220; 121 V 362 consid. 1b pag. 366). In tali condizioni, l'insorgente non può nemmeno validamente rimproverare alla Corte cantonale di avere violato il suo diritto di essere sentita per avere - senza arbitrio - rinunciato alla messa in atto di ulteriori accertamenti medici.</w:t>
      </w:r>
    </w:p>
    <w:p>
      <w:r>
        <w:rPr>
          <w:b/>
        </w:rPr>
        <w:t>E. 2.3</w:t>
      </w:r>
    </w:p>
    <w:p>
      <w:r>
        <w:t>Lo stesso dicasi per la riduzione del 5% applicata dal primo giudice sul reddito base da invalida per tenere conto delle particolarità professionali e personali del caso ( DTF 126 V 75 ). Per ammettere una valutazione qualificatamente errata delle prove e dei fatti non è infatti sufficiente il rimprovero mosso alla Corte cantonale di avere "sic et simpliciter" confermato la riduzione operata dall'UAI. La contestazione ricorsuale, oltre a riproporre (testualmente) i motivi di riduzione (lavoro a tempo parziale, età, impedimenti funzionali ecc.) proposti in sede cantonale, si limita a invocare (una volta di più copiando semplicemente il testo del ricorso cantonale) una riduzione massima del 25% - chiaramente spropositata -, ma non spiega perché e in quale misura l'istanza giudiziaria di primo grado avrebbe commesso un eccesso o un abuso del potere di apprezzamento (v. DTF 137 V 71 ). In via abbondanziale si osserva comunque che i motivi invocati dalla ricorrente per ulteriormente ridurre il reddito base da invalida per motivi personali o professionali sono già stati analizzati in dettaglio e scartati dall'amministrazione. L'UAI nel suo rapporto agli atti del 14 settembre 2011 ha infatti (correttamente) evidenziato come né le limitazioni funzionali (di cui si è già tenuto conto a livello medico con la riduzione di rendimento), né l'età (v. ISS 2008, TA9) e neppure il tasso di occupazione (che per le donne occupate a un tasso variabile dal 50% al 74% si ripercuote anzi favorevolmente sul livello salariale; cfr. ISS 2008) giustificassero una deduzione supplementare.</w:t>
      </w:r>
    </w:p>
    <w:p>
      <w:r>
        <w:rPr>
          <w:b/>
        </w:rPr>
        <w:t>E. 3</w:t>
      </w:r>
    </w:p>
    <w:p>
      <w:r>
        <w:t>Ne segue che il ricorso - nella limitatissima misura della sua ammissibilità - dev'essere respinto.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