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73/2007 vom 16. Juli 2007</w:t>
      </w:r>
    </w:p>
    <w:p>
      <w:r>
        <w:t>Bundesgericht, 2007-07-16, DE</w:t>
      </w:r>
    </w:p>
    <w:p>
      <w:r>
        <w:rPr>
          <w:b/>
        </w:rPr>
        <w:t xml:space="preserve">Quelle: </w:t>
      </w:r>
      <w:r>
        <w:t>https://mcp.opencaselaw.ch/entscheid/bger_9C_73_2007</w:t>
      </w:r>
    </w:p>
    <w:p>
      <w:r>
        <w:t>FR: TF 9C 73/2007 du 16 juillet 2007</w:t>
      </w:r>
    </w:p>
    <w:p>
      <w:r>
        <w:t>IT: TF 9C 73/2007 del 16 luglio 2007</w:t>
      </w:r>
    </w:p>
    <w:p>
      <w:pPr>
        <w:pStyle w:val="Heading2"/>
      </w:pPr>
      <w:r>
        <w:t>Regeste</w:t>
      </w:r>
    </w:p>
    <w:p>
      <w:r>
        <w:t>Berufliche Vorsorge | Berufliche Vorsorge</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erst der Entscheid der Vorinstanz dazu Anlass gibt ( Art. 99 Abs. 1 BGG ).</w:t>
      </w:r>
    </w:p>
    <w:p>
      <w:r>
        <w:rPr>
          <w:b/>
        </w:rPr>
        <w:t>E. 2</w:t>
      </w:r>
    </w:p>
    <w:p>
      <w:r>
        <w:t>Strittig ist, ob der Beschwerdeführer gegenüber der Stiftung Anspruch auf eine Invalidenrente der obligatorischen beruflichen Vorsorge hat. Dies hängt entscheidend von der Frage ab, wann die für die Entstehung des Invalidenleistungsanspruchs relevante Arbeitsunfähigkeit eingetreten ist.</w:t>
      </w:r>
    </w:p>
    <w:p>
      <w:r>
        <w:rPr>
          <w:b/>
        </w:rPr>
        <w:t>E. 3</w:t>
      </w:r>
    </w:p>
    <w:p>
      <w:r>
        <w:t>Im angefochtenen Entscheid werden die Bestimmungen über den Anspruch auf Invalidenleistungen der obligatorischen beruflichen Vorsorge ( Art. 23 BVG ) und die Grundsätze für die Abgrenzung der Leistungspflicht von Vorsorgeeinrichtungen ( BGE 123 V 262 E. 1a S. 263, 120 V 15 E. 1a S. 18, je mit Hinweisen) zutreffend dargelegt. Das Gleiche gilt bezüglich der vorinstanzlichen Ausführungen zur Bindung der Vorsorgeeinrichtungen an die Feststellungen der IV-Organe insbesondere hinsichtlich des Eintritts der invalidisierenden Arbeitsunfähigkeit ( BGE 130 V 270 E. 3.1 S. 273, 129 V 73 mit Hinweisen). Darauf wird verwiesen.</w:t>
      </w:r>
    </w:p>
    <w:p>
      <w:r>
        <w:rPr>
          <w:b/>
        </w:rPr>
        <w:t>E. 4.1</w:t>
      </w:r>
    </w:p>
    <w:p>
      <w:r>
        <w:t>Das kantonale Gericht hat zunächst unbestrittenermassen festgestellt, dass die Rentenverfügung der IV-Stelle vom 7. Dezember 2001 der Beschwerdegegnerin nicht zugestellt worden sei. Es sei daher frei zu prüfen, wann beim Beschwerdeführer die zur Invalidität führende Arbeitsunfähigkeit eingetreten sei. Der Beschwerdeführer erblickt einen Widerspruch und eine Verletzung der Vorschriften über die Kognition, indem die Vorinstanz weiter erwogen hat, dass sich der Beschwerdeführer indessen die von der Invalidenversicherung getätigten Feststellungen entgegenzuhalten lassen habe, sofern sie sich nicht als offensichtlich unhaltbar erweisen würden.</w:t>
      </w:r>
    </w:p>
    <w:p>
      <w:r>
        <w:rPr>
          <w:b/>
        </w:rPr>
        <w:t>E. 4.2</w:t>
      </w:r>
    </w:p>
    <w:p>
      <w:r>
        <w:t>Der in E. 4.1 erwähnte (scheinbare) Widerspruch lässt sich ohne Weiteres auflösen. In BGE 129 V 73 E. 4.2.2 S. 76 wurde eine Bindungswirkung der invalidenversicherungsrechtlichen Feststellungen für die Vorsorgeeinrichtung verneint, wenn sie nicht spätestens im Vorbescheidsverfahren ( Art. 73bis IVV ) und, nach dessen Ersetzung durch das Einspracheverfahren ab 1. Januar 2003, angelegentlich der Verfügungseröffnung in das invalidenversicherungsrechtliche Verfahren einbezogen wird. Hält sich die Vorsorgeeinrichtung demgegenüber im Rahmen des invalidenversicherungsrechtlich Verfügten, ja stützt sie sich - wie hier - darauf,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Zuge. Mit anderen Worten: Stellt die Vorsorgeeinrichtung auf die invalidenversicherungsrechtliche Betrachtungsweise ab, muss sich die versicherte Person diese entgegenhalten lassen, soweit diese für die Festlegung des Anspruchs auf eine Invalidenrente entscheidend war , und zwar ungeachtet dessen, ob der Vorsorgeversicherer im IV-Verfahren beteiligt war oder nicht. Vorbehalten sind jene Fälle, in denen eine gesamthafte Prüfung der Aktenlage ergibt, dass die Invaliditätsbemessung der Invalidenversicherung offensichtlich unhaltbar war (in SZS 2004 S. 451 f. zusammengefasst wiedergegebenes Urteil F. vom 9. Februar 2004, B 39/03, E. 3.1).</w:t>
      </w:r>
    </w:p>
    <w:p>
      <w:r>
        <w:rPr>
          <w:b/>
        </w:rPr>
        <w:t>E. 4.3</w:t>
      </w:r>
    </w:p>
    <w:p>
      <w:r>
        <w:t>Entgegen der Auffassung des Beschwerdeführers hat daher die Vorinstanz seine Vorbringen zu den von der Invalidenversicherung getroffenen Feststellungen zum Eintritt der invalidisierenden Arbeitsunfähigkeit zu Recht nur unter dem Blickwinkel der offensichtlichen Unhaltbarkeit geprüft. Auch wenn sie zwar durchblicken lässt, dass eine freie Prüfung zu einem anderen Ergebnis hätte führen können, hat sie doch mit in allen Teilen überzeugender Begründung dargetan, dass die Feststellung der IV-Stelle, eine dauernde Arbeitsunfähigkeit sei erst nach der missglückten arbeitsmarktlichen Massnahme (17. August 1998) eingetreten, nicht offensichtlich unrichtig ist. Gegenteiliges wird vom Beschwerdeführer denn auch - zu Recht - nicht geltend gemacht. Seine Einwendungen basieren vielmehr auf der wie dargelegt unzutreffenden Annahme, es bestehe keine Bindung der Vorsorgeeinrichtung an die Feststellung der Invalidenversicherung.</w:t>
      </w:r>
    </w:p>
    <w:p>
      <w:r>
        <w:rPr>
          <w:b/>
        </w:rPr>
        <w:t>E. 4.4</w:t>
      </w:r>
    </w:p>
    <w:p>
      <w:r>
        <w:t>Bleibt somit die Beschwerdegegnerin an die Feststellung der Invalidenversicherung, die relevante Arbeitsunfähigkeit sei erst am 17. August 1998 eingetreten, gebunden, entfällt die Leistungspflicht der Stiftung ohne Weiteres, war doch der Beschwerdeführer zu diesem Zeitpunkt unbestrittenermassen nicht mehr bei ihr obligatorisch berufsvorsorgeversichert. Die Beschwerde ist daher unbegründet.</w:t>
      </w:r>
    </w:p>
    <w:p>
      <w:r>
        <w:rPr>
          <w:b/>
        </w:rPr>
        <w:t>E. 5</w:t>
      </w:r>
    </w:p>
    <w:p>
      <w:r>
        <w:t>Im Sinne einer Eventualbegründung hat das kantonale Gericht weiter erwogen, dass der Beschwerdeführer selbst dann keine Ansprüche gegenüber der Stiftung hätte, wenn vom Eintritt der massgeblichen Arbeitsunfähigkeit am 1. August 1997 ausgegangen würde, da die Versicherungsdeckung spätestens nach Ablauf der Nachdeckungsfrist von einem Monat nach Dienstaustritt (13. Juni 1997) am 13. Juli 1997 abgelaufen sei. Dem hält der Beschwerdeführer entgegen, die Vorin-stanz gehe fälschlicherweise davon aus, der Arbeitsvertrag sei per 13. Juni 1997 aufgelöst worden. Der Lohn sei jedoch bis Ende Juni 1997 bezahlt worden, weshalb der Dienstaustritt frühestens an diesem Tag erfolgt sei. Mit dieser Argumentation übersieht der Beschwerdeführer, dass unter dem arbeitsvertraglichen Kündigungsrecht die Befugnis jeder Partei zu verstehen ist, das Vertragsverhältnis durch einseitige Willenserklärung aufzulösen, wenn die gesetzlichen Erfordernisse erfüllt sind. Es handelt sich um ein typisches Gestaltungsrecht, das durch eine Erklärung des Berechtigten an die Gegenpartei ausgeübt wird ( BGE 113 II 259 E. 2a S. 261). Der Beschwerdeführer hat das Arbeitsverhältnis (im Rahmen der Neuanstellung) gesetzeskonform mit eingeschriebenem Brief am 5. Juni 1997 zum 13. Juni 1997 aufgelöst. An der rechtsgestaltenden Wirkung dieser Kündigung vermag damit nichts zu ändern, dass dem Beschwerdeführer - aus welchen Gründen auch immer - im Juni 1997 noch der volle Monatslohn ausbezahlt worden ist.</w:t>
      </w:r>
    </w:p>
    <w:p>
      <w:r>
        <w:rPr>
          <w:b/>
        </w:rPr>
        <w:t>E. 6</w:t>
      </w:r>
    </w:p>
    <w:p>
      <w:r>
        <w:t>Die Gerichtskosten werden dem Beschwerdeführer als unterliegender Partei auferlegt ( Art. 66 Abs. 1 BGG ). Die obsiegende Vorsorgeeinrichtung hat als mit öffentlich-rechtlichen Aufgaben betraute Organisation keinen Anspruch auf eine Parteientschädigung ( Art. 68 Abs. 3 BGG ; BGE 126 V 143 E. 4a S. 149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