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9C_738/2016 vom 23. November 2016</w:t>
      </w:r>
    </w:p>
    <w:p>
      <w:r>
        <w:t>Bundesgericht, 2016-11-23, DE</w:t>
      </w:r>
    </w:p>
    <w:p>
      <w:r>
        <w:rPr>
          <w:b/>
        </w:rPr>
        <w:t xml:space="preserve">Quelle: </w:t>
      </w:r>
      <w:r>
        <w:t>https://mcp.opencaselaw.ch/entscheid/bger_9C_738_2016</w:t>
      </w:r>
    </w:p>
    <w:p>
      <w:r>
        <w:t>FR: TF 9C_738/2016 du 23 novembre 2016</w:t>
      </w:r>
    </w:p>
    <w:p>
      <w:r>
        <w:t>IT: TF 9C_738/2016 del 23 novembre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9C_738/2016</w:t>
      </w:r>
    </w:p>
    <w:p>
      <w:r>
        <w:t>Urteil vom 23. November 2016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Bollinger Hammerle.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Aargau, Kyburgerstrasse 15, 5000 Aarau,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die Verfügung des Versicherungsgerichts des Kantons Aargau vom 16. September 2016.</w:t>
      </w:r>
    </w:p>
    <w:p>
      <w:r>
        <w:t>Nach Einsicht</w:t>
      </w:r>
    </w:p>
    <w:p>
      <w:r>
        <w:t>in die Beschwerde vom 31. Oktober 2016 (Poststempel) gegen den gemäss Verfügung des Versicherungsgerichts des Kantons Aargau vom 28. September 2016 am 26. September 2016 (letzter Tag der 7-tägigen Abholfrist) als zugestellt geltenden Gerichtsentscheid vom 16. September 2016, mit welchem das kantonale Gericht insbesondere beschloss, das Verfahren betreffend AHV/IV/EO-Beiträge für Selbstständigerwerbende wegen Hinweisen auf fehlende Handlungs- und Prozessfähigkeit von A.________ bis zur rechtskräftigen Ernennung eines (Rechts-) Beistandes durch die Kindes- und Erwachsenenschutzbehörde zu sistieren, sowie in das von A.________ gestellte Gesuch um unentgeltliche Rechtspflege,</w:t>
      </w:r>
    </w:p>
    <w:p>
      <w:r>
        <w:t>in Erwägung,</w:t>
      </w:r>
    </w:p>
    <w:p>
      <w:r>
        <w:t>dass die Beschwerde ausserhalb der Rechtsmittelfrist ( Art. 100 Abs. 1 BGG ) erhoben worden ist, wie der Beschwerdeführer selbst einräumt,</w:t>
      </w:r>
    </w:p>
    <w:p>
      <w:r>
        <w:t>dass der Beschwerdeführer um Wiederherstellung der Rechtsmittelfrist ersucht, er indes die behauptete Unfähigkeit, innert Rechtsmittelfrist zu handeln, nicht näher belegt,</w:t>
      </w:r>
    </w:p>
    <w:p>
      <w:r>
        <w:t>dass die Eingabe den in Art. 42 Abs. 1 und 2 BGG statuierten Erfordernissen an eine rechtsgenügliche Beschwerdeschrift auch bei Rechtzeitigkeit ohnehin und offensichtlich nicht zu genügen vermöchte, da der Beschwerdeführer zwar - wie im Verfahren 9C_736/2016 - zahlreiche Gesetzes- und Verfassungsverletzungen beanstandet, die allerdings weitestgehend keinen hinreichenden Bezug zum angefochtenen Sistierungsentscheid aufweisen ( BGE 134 IV 43 E. 2, Urteile 8C_581/2014 vom 15. März 2015 E. 5.2, in: SVR 2015 ALV Nr. 5 S. 25, und H 146/98 vom 6. Juli 1998 E. 2c) und ein</w:t>
      </w:r>
    </w:p>
    <w:p>
      <w:r>
        <w:t>rechtlicher Nachteil im Sinne von Art. 93 Abs. 1 lit. a BGG nicht ersichtlich ist,</w:t>
      </w:r>
    </w:p>
    <w:p>
      <w:r>
        <w:t>dass deshalb im vereinfachten Verfahren nach Art. 108 Abs. 1 lit. a und b und Abs. 2 BGG auf die Beschwerde nicht einzutreten ist und in Anwendung von Art. 66 Abs. 1 Satz 2 in fine BGG umständehalber auf die Erhebung von Gerichtskosten verzichtet wird,</w:t>
      </w:r>
    </w:p>
    <w:p>
      <w:r>
        <w:t>dass damit das Gesuch um unentgeltliche Rechtspflege, im Sinne der Befreiung von Gerichtskosten, gegenstandslos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23. November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Bollinger Hammerle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