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9C_737/2011 vom 16. Oktober 2012</w:t>
      </w:r>
    </w:p>
    <w:p>
      <w:r>
        <w:t>Bundesgericht, 2012-10-16, DE</w:t>
      </w:r>
    </w:p>
    <w:p>
      <w:r>
        <w:rPr>
          <w:b/>
        </w:rPr>
        <w:t xml:space="preserve">Quelle: </w:t>
      </w:r>
      <w:r>
        <w:t>https://mcp.opencaselaw.ch/entscheid/bger_9C_737_2011</w:t>
      </w:r>
    </w:p>
    <w:p>
      <w:r>
        <w:t>FR: TF 9C_737/2011 du 16 octobre 2012</w:t>
      </w:r>
    </w:p>
    <w:p>
      <w:r>
        <w:t>IT: TF 9C_737/2011 del 16 ottobre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Die Vorinstanz hat die Grundlagen über die Erwerbsunfähigkeit ( Art. 7 ATSG ), die Invalidität ( Art. 8 Abs. 1 ATSG ; Art. 4 Abs. 1 IVG ), den Rentenanspruch (Art. 28a Abs. 1 resp. 28 Abs. 2 IVG), die Rentenrevision ( Art. 17 Abs. 1 ATSG ; Art. 88a Abs. 2, Art. 88bis Abs. 2 lit. a IVV ; BGE 134 V 131 E. 3. S. 132), den Untersuchungsgrundsatz und den Beweiswert ärztlicher Berichte resp. Gutachten ( BGE 134 V 109 E. 9.5 S. 125 f.) richtig dargelegt. Darauf wird verwiesen. Da der Versicherte die Rente bei Inkrafttreten des ATSG am 1. Januar 2003 bereits bezog, sind an sich die davor geltenden Rechtsnormen massgebend (Art. 82 Abs. 1 erster Satz ATSG; BGE 130 V 445 E. 1.2.1 S. 446), doch zeitigt dies keine Folgen, da das ATSG bezüglich der Invaliditätsbemessung keine Änderungen brachte ( BGE 135 V 215 , 130 V 343 und 393; Urteil 8C_668/2010 vom 15. März 2011 E. 2).</w:t>
      </w:r>
    </w:p>
    <w:p>
      <w:r>
        <w:rPr>
          <w:b/>
        </w:rPr>
        <w:t>E. 3.1</w:t>
      </w:r>
    </w:p>
    <w:p>
      <w:r>
        <w:t>Für die Rentenherabsetzung stellte das kantonale Gericht entscheidend auf das Gutachten des A.________ vom 30. September 2008 ab. Es kam zum Schluss, das Gutachten basiere auf internistischen, neurologischen und psychiatrischen Untersuchungen und sei in Kenntnis der und in Auseinandersetzung mit den Vorakten abgegeben worden. Die Gutachter hätten detaillierte und nachvollziehbare Befunde und Diagnosen erhoben und sich mit den vom Beschwerdeführer geklagten Beschwerden und seinem Verhalten auseinandergesetzt. Es werde nachvollziehbar dargelegt, dass sich der Gesundheitszustand des Beschwerdeführers verbessert habe. Gestützt auf die Einschätzung der Gutachter des A.________ habe die IV-Stelle zu Recht angenommen, der Gesundheitszustand des Beschwerdeführers habe sich wesentlich verbessert und es sei ihm eine Arbeitsfähigkeit von 50 % als Audio-Video-Elektroniker im Reparaturbereich zumutbar. Auf den Schlussbericht des P.________ vom 29. Juni 2009 könne nicht abgestellt werden. Da die Ausbildungsleiter die tiefe Grundarbeits- und Leistungsfähigkeit, welche sie auf die gesundheitlichen Beschwerden zurückführen, ansonsten nicht näher begründeten und sich mit der abweichenden Einschätzung der Arbeitsfähigkeit durch die Gutachter des A.________ nicht auseinandersetzten, liege die Vermutung nahe, dass sie in ihre Beurteilung die subjektive Krankheitsüberzeugung des Beschwerdeführers miteinbezogen hätten. Im Unterschied zu dem im Urteil 9C_833/2007 vom 4. Juli 2007 beurteilten Sachverhalt könne hier nicht von einem einwandfreien Arbeitsverhalten/-einsatz ausgegangen werden. Dies lasse Zweifel aufkommen an der grundsätzlichen Bereitschaft des Versicherten, den ihm zumutbaren subjektiven Eingliederungswillen für den Wiedereinstieg in den Arbeitsmarkt aufzubringen. Vor diesem Hintergrund habe die IV-Stelle zu Recht auf das Einholen einer medizinischen Stellungnahme verzichtet und ihrem Entscheid die überzeugende Einschätzung der Gutachter des A.________ zugrunde gelegt. Um die Schlussfolgerungen des polydisziplinären Gutachtens des A.________ umzustossen, müsste die abweichende Einschätzung im Schlussbericht ganz besonders überzeugend begründet und aufgrund spezifischer Umstände nachvollziehbar sein.</w:t>
      </w:r>
    </w:p>
    <w:p>
      <w:r>
        <w:rPr>
          <w:b/>
        </w:rPr>
        <w:t>E. 3.2</w:t>
      </w:r>
    </w:p>
    <w:p>
      <w:r>
        <w:t>In der Beschwerde wird geltend gemacht, das kantonale Gericht habe Art. 43 ATSG verletzt, da ein allenfalls möglicher Wegfall der durch Zeckenbisse erlittenen körperlichen Beeinträchtigung von der Versicherung mit dem Beweisgrad der überwiegenden Wahrscheinlichkeit erbracht werden müsste. Die vom kantonalen Gericht gestützt auf das Gutachten des A._______ getroffene Feststellung, wonach sich der Versicherte quasi in seiner Krankheitsrolle gefalle, sei offensichtlich falsch. Der Beschwerdeführer hätte aufgrund der bisherigen Arztberichte zusätzlich neuropsychologisch untersucht werden müssen. Sämtliche bisherigen Berichte attestierten neben der körperlichen eine rasche geistige Erschöpfbarkeit. Entgegen der Auffassung der Vorinstanz komme dem Bericht der IV-Abklärungsstelle P.________ voller Beweiswert zu. Das kantonale Gericht habe seinen Ermessensspielraum verletzt, indem es den Bericht P.________ als irrelevant gegenüber dem A.________ bezeichnet habe. Indem es die offensichtlichen Diskrepanzen zwischen dem überholten Gutachten des A.________ und dem jüngeren Abklärungsbericht nicht näher aufgeklärt habe, habe sie die Verfahrensrechte des Versicherten verletzt.</w:t>
      </w:r>
    </w:p>
    <w:p>
      <w:r>
        <w:rPr>
          <w:b/>
        </w:rPr>
        <w:t>E. 3.3</w:t>
      </w:r>
    </w:p>
    <w:p>
      <w:r>
        <w:t>Auszugehen ist davon, dass Ergebnissen leistungsorientierter beruflicher Abklärungen nicht jegliche Aussagekraft für die Beurteilung der Restarbeitsfähigkeit abgesprochen werden darf.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(Urteil 9C_833/2007 vom 4. Juli 2008 E. 3.3.2). Eine solche Konstellation ist im vorliegenden Fall gegeben. Zwar wird im Gutachten des A.________ vom 30. September 2008 in neurologischer, innermedizinischer und psychiatrischer Hinsicht übereinstimmend eine Verbesserung des Gesundheitszustandes festgestellt und eine Anfangsarbeitsfähigkeit von 50 % attestiert. Erst ein gutes Jahr später hat sich der Beschwerdeführer, bei dem - wie die medizinischen Gutachter kritisch vermerkten - bei der Rentenzusprache keinerlei Eingliederungsmassnahmen durchgeführt worden waren, in die berufliche Abklärungsstelle P.________ begeben. Dort wird die Arbeitsfähigkeit in deutlicher Abweichung zur medizinischen Beurteilung sehr viel tiefer geschätzt mit der Feststellung, dass der Beschwerdeführer in seinem Berufsfeld als qualifizierter Elektroniker selbstständig und zuverlässig arbeite. Einsatz und Interesse seien unter Berücksichtigung der gesundheitlichen Situation genügend, reichten aber für den ersten Arbeitsmarkt nicht aus. Invaliditätsbedingt seien ebenso Präsenz, Belastbarkeit und Leistungsfähigkeit deutlich eingeschränkt. Als Betroffener habe sich der Beschwerdeführer im Rahmen seiner gesundheitlichen Möglichkeiten bemüht. Die Zusammenarbeit sei kooperativ gewesen, aber doch deutlich erschwert durch das Leiden des Versicherten gewesen. Das kantonale Gericht erwog zu diesem erheblichen Unterschied in der Einschätzung der Restarbeitsfähigkeit, dieser sei im Wesentlichen durch die Krankheitsüberzeugung des Versicherten begründet, was auch die Einschätzung im Gutachten des A.________ sei. Zwar befasst sich das kantonale Gericht mit der Diskrepanz der beiden Einschätzungen. Gestützt auf die Angabe im Schlussbericht P.________ betreffend einen eher mässigen Einsatz des Beschwerdeführers bei den Arbeitsversuchen und seiner Zurückhaltung in Bezug auf Integrationsmassnahmen (Belastbarkeitstraining) gelangte die Vorinstanz zur Auffassung, es seien Zweifel an der subjektiven Eingliederungsfähigkeit des Beschwerdeführers angebracht. Allein diese - diskreten - Hinweise vermögen die deutlich unterschiedlichen Einschätzungen der Arbeitsfähigkeit des Beschwerdeführers nicht zu klären. Medizinisches Gutachten und Schlussbericht P.________ liegen zeitlich erheblich auseinander, was zusätzlicher Grund für Rückfragen an die medizinischen Gutachter gewesen wäre. Zwar kommt rechtsprechungsgemäss den medizinischen gegenüber den Abklärungen der Fachleute der Berufsberatung/beruflichen Eingliederung ein grösseres Gewicht zu. Allein eine derart deutlich unterschiedliche Einschätzung der restlichen Arbeitsfähigkeit bedarf einer medizinischen Klärung, allenfalls durch Rückfragen an die Begutachtungsstelle unter Beilage des Berichts der Abklärungsstelle P.________ (Urteil 9C_833/2007 E. 3.3.2). Nach dem Gesagten ist der rechtserhebliche Sachverhalt durch Einholung einer ergänzenden ärztlichen Stellungnahme zu vervollständigen, welche sich zur Diskrepanz zwischen dem Gutachten des A.________ und dem Abklärungsbericht P.________ äussert. Die Sache ist daher an die Verwaltung zu erneuter Abklärung zurückzuweisen.</w:t>
      </w:r>
    </w:p>
    <w:p>
      <w:r>
        <w:rPr>
          <w:b/>
        </w:rPr>
        <w:t>E. 4</w:t>
      </w:r>
    </w:p>
    <w:p>
      <w:r>
        <w:t>Die Rückweisung der Sache an die Verwaltung zu erneuter Abklärung gilt als vollständiges Obsiegen des Versicherten nach Art. 66 Abs. 1 und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