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736/2022 vom 3. April 2023</w:t>
      </w:r>
    </w:p>
    <w:p>
      <w:r>
        <w:t>Bundesgericht, 2023-04-03, DE</w:t>
      </w:r>
    </w:p>
    <w:p>
      <w:r>
        <w:rPr>
          <w:b/>
        </w:rPr>
        <w:t xml:space="preserve">Quelle: </w:t>
      </w:r>
      <w:r>
        <w:t>https://mcp.opencaselaw.ch/entscheid/bger_9C_736_2022</w:t>
      </w:r>
    </w:p>
    <w:p>
      <w:r>
        <w:t>FR: TF 9C 736/2022 du 3 avril 2023</w:t>
      </w:r>
    </w:p>
    <w:p>
      <w:r>
        <w:t>IT: TF 9C 736/2022 del 3 aprile 2023</w:t>
      </w:r>
    </w:p>
    <w:p>
      <w:pPr>
        <w:pStyle w:val="Heading2"/>
      </w:pPr>
      <w:r>
        <w:t>Regeste</w:t>
      </w:r>
    </w:p>
    <w:p>
      <w:r>
        <w:t>Mehrwertsteuer, Steuerperioden 2015 bis 2017 | Öffentliche Finanzen &amp; Abgaberecht</w:t>
      </w:r>
    </w:p>
    <w:p>
      <w:pPr>
        <w:pStyle w:val="Heading2"/>
      </w:pPr>
      <w:r>
        <w:t>Erwägungen</w:t>
      </w:r>
    </w:p>
    <w:p>
      <w:r>
        <w:rPr>
          <w:b/>
        </w:rPr>
        <w:t>E. 1.1</w:t>
      </w:r>
    </w:p>
    <w:p>
      <w:r>
        <w:t>Als Endentscheid in einer Angelegenheit des öffentlichen Rechts unterliegt das angefochtene Urteil des Bundesverwaltungsgerichts nach Art. 82 lit. a in Verbindung mit Art. 86 Abs. 1 lit. a und Art. 90 BGG der Beschwerde in öffentlich-rechtlichen Angelegenheiten. Daran ändert die teilweise Rückweisung an die Vorinstanz nichts, weil sie lediglich die Berechnung des Vergütungszinses betrifft und der ESTV nur noch die betragsmässige Umsetzung obliegt ( BGE 147 V 308 E. 1.2). Die ESTV ist nach Art. 89 Abs. 2 lit. a BGG in Verbindung mit Art. 141 der Mehrwertsteuerverordnung vom 27. November 2009 (MWSTV; SR 641.201) zur Beschwerde legitimiert und hat ihre Beschwerde frist- und formgerecht ( Art. 100 Abs. 1 und Art. 42 BGG ) eingereicht. Auf die Beschwerde ist einzutreten.</w:t>
      </w:r>
    </w:p>
    <w:p>
      <w:r>
        <w:rPr>
          <w:b/>
        </w:rPr>
        <w:t>E. 1.2</w:t>
      </w:r>
    </w:p>
    <w:p>
      <w:r>
        <w:t>Rügen, die eine beschwerdeführende Partei erst in ihrer Replik oder in einer sonstigen Eingabe nach Ablauf der Beschwerdefrist erhebt, sind grundsätzlich unzulässig. Anders verhält es sich nur, wenn erst die Vernehmlassung eines anderen Verfahrensbeteiligten Anlass zur Beschwerdeergänzung gibt, wobei die beschwerdeführende Partei die Stellungnahme in diesem Fall unverzüglich zu beantragen bzw. einzureichen hat ( BGE 147 I 16 E. 3.4.3; 143 II 283 E. 1.2.3 ; 135 I 19 E. 2.2 ; 132 I 42 E. 3.3.4). Wie die ESTV selbst einräumt, sind die Ausführungen in ihrer Stellungnahme vom 16. Dezember 2022 nicht durch die Stellungnahme der Beschwerdegegnerin, sondern durch das Urteil 2C_2/2022 vom 22. November 2022 veranlasst. Die neuen Argumente zur historischen Auslegung von Art. 18 Abs. 2 lit. a MWSTG und zur Steuerumgehung hätten bereits in der Beschwerdeschrift vorgetragen werden können. Mit diesen Ausführungen ist die ESTV folglich nicht zu hören.</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147 I 73 E. 2.2; 143 IV 241 E. 2.3.1;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 Art. 42 Abs. 2 BGG i.V.m. Art. 106 Abs. 2 BGG ; BGE 148 IV 356 E. 2.1 ; 148 I 160 E. 3).</w:t>
      </w:r>
    </w:p>
    <w:p>
      <w:r>
        <w:rPr>
          <w:b/>
        </w:rPr>
        <w:t>E. 2.2</w:t>
      </w:r>
    </w:p>
    <w:p>
      <w:r>
        <w:t>Mit der Beschwerde in öffentlich-rechtlichen Angelegenheiten kann unter anderem eine Rechtsverletzung nach Art. 95 f.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w:t>
      </w:r>
    </w:p>
    <w:p>
      <w:r>
        <w:rPr>
          <w:b/>
        </w:rPr>
        <w:t>E. 3</w:t>
      </w:r>
    </w:p>
    <w:p>
      <w:r>
        <w:t>Die ESTV beanstandet, dass die Vorinstanz zu Unrecht davon ausgegangen sei, eine Spezialfinanzierung müsse Gewinne jeweils dem "Muttergemeinwesen" abliefern, während Verluste durch das "Muttergemeinwesen" ausgeglichen würden. Anders als eine nicht spezialfinanzierte Dienststelle trage eine spezialfinanzierte Gewinne und Verluste vor und bezahle nur allfällige Vorschüsse zurück; sie müsse eine Rentabilität aufweisen. Unabhängig davon, ob die Einschätzung der ESTV zutrifft oder nicht, ist mit der Beschwerdegegnerin festzuhalten, dass sich die Natur der und die Bedingungen für die Errichtung einer Spezialfinanzierung aus dem (kantonalen und kommunalen) Recht ergibt, während der Begriff der Dienststelle im vorliegenden Kontext dem Mehrwertsteuerrecht - also Bundesrecht - entspringt (vgl. Art. 12 MWSTG ). Die rechtliche Qualifikation der "spezialfinanzierten Dienststelle" ist demnach keine Frage des Sachverhalts, sondern als Rechtsfrage im Rahmen der materiellen Beurteilung zu prüfen, soweit sich diese Frage denn überhaupt als relevant erweist.</w:t>
      </w:r>
    </w:p>
    <w:p>
      <w:r>
        <w:rPr>
          <w:b/>
        </w:rPr>
        <w:t>E. 4</w:t>
      </w:r>
    </w:p>
    <w:p>
      <w:r>
        <w:t>Zwischen den Parteien ist unstreitig, dass die Beschwerdegegnerin als autonome Dienststelle eines Gemeinwesens nach Art. 28 Abs. 1 in Verbindung mit Art. 12 Abs. 1 MWSTG grundsätzlich das Recht hat, Vorsteuern abzuziehen, die im Zusammenhang mit dem Bau und der Verpachtung der Sportanlagen anfallen. Ebenso ist unbestritten, dass Subventionen und andere öffentlich-rechtliche Beiträge, die die Beschwerdegegnerin bezieht, nach Art. 33 Abs. 2 MWSTG zu einer Kürzung ihres Vorsteuerabzugs führen. Einig sind sich die Parteien weiter auch darüber, dass die Beschwerdegegnerin für die der Spezialfinanzierung zugewiesenen Mittel keine Leistung erbracht hat. Streitig und zu prüfen ist, ob die buchmässigen Gutschriften im Zusammenhang mit den Landverkäufen E.________ und H.________ sowie dem Aufwertungsgewinn betreffend die Baurechtszinsen als Subventionen oder andere öffentlich-rechtliche Beiträge nach Art. 18 Abs. 2 lit. a MWSTG einzustufen sind und ob darin überhaupt Mittelflüsse an die Beschwerdegegnerin zu sehen sind.</w:t>
      </w:r>
    </w:p>
    <w:p>
      <w:r>
        <w:rPr>
          <w:b/>
        </w:rPr>
        <w:t>E. 4.1</w:t>
      </w:r>
    </w:p>
    <w:p>
      <w:r>
        <w:t>In einem kürzlich ergangenen Leiturteil, das einen vergleichbaren Sachverhalt betraf, hatte das Bundesgericht zu prüfen, ob gegenleistungslose Mittelflüsse innerhalb desselben Gemeinwesens als Subventionen oder andere öffentlich-rechtliche Beiträge unter Art. 18 Abs. 2 lit. a MWSTG fallen (Urteil 2C_2/2022 vom 22. November 2022, zur Publikation vorgesehen). Unter Berücksichtigung der bisherigen Rechtsprechung (E. 3.3), des Gesetzeswortlauts in den verschiedenen Landessprachen (E. 3.4) und der Steuersystematik (E. 3.5) ist es dabei zum Schluss gelangt, dass Mittelflüsse zwischen Dienststellen desselben Gemeinwesens respektive zwischen einer Dienststelle und seinem "Muttergemeinwesen" keine Subventionen oder andere öffentlich-rechtliche Beiträge sind, die eine Vorsteuerkürzung nach sich ziehen. Nach diesem Urteil setzen Subventionen sowohl nach der Subventionsgesetzgebung als auch nach gewöhnlichem Sprachgebrauch begriffsnotwendig voraus, dass die fraglichen Mittel den Kreislauf des leistenden Gemeinwesens verlassen (vgl. Urteil 2C_2/2022 vom 22. November 2022 E. 3.3 und 3.4, zur Publikation vorgesehen).</w:t>
      </w:r>
    </w:p>
    <w:p>
      <w:r>
        <w:rPr>
          <w:b/>
        </w:rPr>
        <w:t>E. 4.2</w:t>
      </w:r>
    </w:p>
    <w:p>
      <w:r>
        <w:t>Es gibt keinen Grund, hier von diesem Leiturteil abzuweichen. Der einzige potenziell wesentliche Unterschied zwischen dem bereits beurteilten und dem vorliegenden Fall betrifft die Art und Weise der Finanzierung der Dienststelle. Im Unterschied zum bereits beurteilten Fall betreibt die Beschwerdegegnerin ihre Tätigkeit auf der Basis einer Spezialfinanzierung. Es trifft zwar zu, dass der Zugriff des Gemeinwesens auf Mittel einer Dienststelle, die dieser kraft einer Spezialfinanzierung gewidmet sind, im Vergleich zu Mitteln anderer Dienststellen erschwert sein kann, namentlich wenn die Legislative des Gemeinwesens die Widmung vorgenommen hat. Nichtsdestotrotz stehen die in einer Spezialfinanzierung gebundenen Mittel letztlich dennoch unter der Kontrolle des Gemeinwesens, da es in seinem Belieben steht, die betreffenden Reglemente zu ändern, um so auf die Mittel der Dienststelle zugreifen zu können. Auch bei der vorliegenden Spezialfinanzierung erscheinen die darin gebundenen Mittel demnach jedenfalls aus mehrwertsteuerlicher Sicht noch nicht als Ausgabe des Gemeinwesens, auch wenn die kantonalrechtlichen Rechnungslegungsvorschriften in diesem Punkt divergieren mögen. Ob die streitbetroffenen Mittel mit der Vorinstanz einer Einlage oder mit der Beschwerdegegnerin einem Darlehen gleichgesetzt werden können, braucht hier wie bereits im Urteil 2C_2/2022 vom 22. November 2022 nicht geklärt zu werden. Denn entscheidend ist alleine, dass diese Mittel nicht unter Art. 18 Abs. 2 lit. a MWSTG fallen und daher keine Vorsteuerkürzung nach Art. 33 Abs. 2 MWSTG rechtfertigen (vgl. Urteil 2C_2/2022 vom 22. November 2022 E. 3.5, zur Publikation vorgesehen).</w:t>
      </w:r>
    </w:p>
    <w:p>
      <w:r>
        <w:rPr>
          <w:b/>
        </w:rPr>
        <w:t>E. 4.3</w:t>
      </w:r>
    </w:p>
    <w:p>
      <w:r>
        <w:t>Nach dem erwähnten Leiturteil ist grundsätzlich vorstellbar, dass ein Kanton oder eine Gemeinde lediglich zur Verbesserung der eigenen Vorsteuerabzugsposition seine bzw. ihre Dienststellen in einer Art und Weise organisiert, die als ungewöhnlich, sachwidrig oder absonderlich bezeichnet werden muss, und der Vorsteuerabzug aufgrund Steuerumgehung verweigert werden kann. Damit die Organisation der Dienststellen unter dem Titel der Steuerumgehung hinterfragt werden könnte, müssten allerdings Anhaltspunkte vorliegen, welche die Gestaltung als den wirtschaftlichen Gegebenheiten völlig unangemessen erscheinen lassen (Urteil 2C_2/2022 vom 22. November 2022 E. 3.6.4, zur Publikation vorgesehen). Daran fehlt es hier. Zwar könnte die Schaffung einer Dienststelle für ein einzelnes Liegenschaftsprojekt ein Anhaltspunkt dafür sein, dass damit in missbräuchlicher Art und Weise Vorsteuerüberhänge generiert werden sollten. Die Vorinstanz hat jedoch für das Bundesgericht verbindlich ( Art. 105 Abs. 1 BGG ) festgestellt, dass der Betrieb der Dienststelle hinreichend rentabel ist (vgl. angefochtenes Urteil E. 4.8.3). Ohnehin behauptet die ESTV nicht bzw. nicht fristgerecht (vgl. oben E. 1.2), dass die Gestaltung der Beschwerdegegnerin ungewöhnlich, absonderlich oder sachwidrig sei. Unter diesen Umständen lässt sich der Vorsteuerabzug auch nicht wegen Steuerumgehung verweigern.</w:t>
      </w:r>
    </w:p>
    <w:p>
      <w:r>
        <w:rPr>
          <w:b/>
        </w:rPr>
        <w:t>E. 4.4</w:t>
      </w:r>
    </w:p>
    <w:p>
      <w:r>
        <w:t>Nach dem Gesagten kann offen bleiben, ob die fraglichen Mittel der Beschwerdegegnerin überhaupt zugeflossen sind. Der Klarheit halber ist aber immerhin wiederum festzuhalten, dass nach der Konzeption des Mehrwertsteuerrechts Leistungsverhältnisse und damit auch Mittelflüsse zwischen verschiedenen Dienststellen desselben Gemeinwesens grundsätzlich möglich sind (vgl. Art. 21 Abs. 2 Ziff. 28 MWSTG in der hier einschlägigen, bis zum 31. Dezember 2017 gültigen Fassung, wonach "Leistungen innerhalb des gleichen Gemeinwesens" von der Mehrwertsteuer ausgenommen sind; Urteil 2C_2/2022 vom 22. November 2022 E. 3.7, zur Publikation vorgesehen).</w:t>
      </w:r>
    </w:p>
    <w:p>
      <w:r>
        <w:rPr>
          <w:b/>
        </w:rPr>
        <w:t>E. 5</w:t>
      </w:r>
    </w:p>
    <w:p>
      <w:r>
        <w:t>Die Beschwerde erweist sich als unbegründet und ist abzuweisen. Die Gerichtskosten trägt die ESTV, da sie unterliegt und Vermögensinteressen verfolgt ( Art. 66 Abs. 1 und 4 BGG ). Der vorliegende Streit hängt zumindest mittelbar mit dem amtlichen Wirkungskreis der Beschwerdegegnerin zusammen. Ihr ist deshalb keine Parteientschädigung zuzusprechen, zumal keine aussergewöhnlichen Umstände vorliegen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