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735/2020 vom 28. Januar 2021</w:t>
      </w:r>
    </w:p>
    <w:p>
      <w:r>
        <w:t>Bundesgericht, 2021-01-28, DE</w:t>
      </w:r>
    </w:p>
    <w:p>
      <w:r>
        <w:rPr>
          <w:b/>
        </w:rPr>
        <w:t xml:space="preserve">Quelle: </w:t>
      </w:r>
      <w:r>
        <w:t>https://mcp.opencaselaw.ch/entscheid/bger_9C_735_2020</w:t>
      </w:r>
    </w:p>
    <w:p>
      <w:r>
        <w:t>FR: TF 9C 735/2020 du 28 janvier 2021</w:t>
      </w:r>
    </w:p>
    <w:p>
      <w:r>
        <w:t>IT: TF 9C 735/2020 del 28 gennaio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Strittig und zu prüfen ist die Rückforderung der Kinderrente für den Zeitraum vom 1. Februar 2015 bis 31. August 2017. Auf die im angefochtenen Entscheid dargelegten Rechtsgrundlagen wird verwiesen.</w:t>
      </w:r>
    </w:p>
    <w:p>
      <w:r>
        <w:rPr>
          <w:b/>
        </w:rPr>
        <w:t>E. 2.1</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2.2</w:t>
      </w:r>
    </w:p>
    <w:p>
      <w:r>
        <w:t>Die Beschwerdeschrift erschöpft sich über weite Strecken in rein appellatorischer Kritik (vgl. BGE 144 V 50 E. 4.2 S. 53 mit Hinweisen) am vorinstanzlichen Entscheid, indem die bereits vor dem kantonalen Gericht vorgebrachten Rügen wiederholt werden. Darauf ist nicht weiter einzugehen.</w:t>
      </w:r>
    </w:p>
    <w:p>
      <w:r>
        <w:rPr>
          <w:b/>
        </w:rPr>
        <w:t>E. 2.3</w:t>
      </w:r>
    </w:p>
    <w:p>
      <w:r>
        <w:t>Entgegen der Ansicht der Beschwerdeführerin ist BGE 142 V 442 klar zu entnehmen, dass mit dem Einkommen gemäss Art. 49bis Abs. 3 AHVV das Bruttoerwerbseinkommen gemeint ist. So geht dies bereits aus der Regeste unzweideutig hervor. Weiterungen erübrigen sich mangels Relevanz der Vorbringen.</w:t>
      </w:r>
    </w:p>
    <w:p>
      <w:r>
        <w:rPr>
          <w:b/>
        </w:rPr>
        <w:t>E. 3</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