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9C_735/2013 vom 17. April 2014</w:t>
      </w:r>
    </w:p>
    <w:p>
      <w:r>
        <w:t>Bundesgericht, 2014-04-17, DE</w:t>
      </w:r>
    </w:p>
    <w:p>
      <w:r>
        <w:rPr>
          <w:b/>
        </w:rPr>
        <w:t xml:space="preserve">Quelle: </w:t>
      </w:r>
      <w:r>
        <w:t>https://mcp.opencaselaw.ch/entscheid/bger_9C_735_2013</w:t>
      </w:r>
    </w:p>
    <w:p>
      <w:r>
        <w:t>FR: TF 9C_735/2013 du 17 avril 2014</w:t>
      </w:r>
    </w:p>
    <w:p>
      <w:r>
        <w:t>IT: TF 9C_735/2013 del 17 aprile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Gutachten des Instituts X.________ vom 27. Juni 2011 Beweiskraft beigemessen. Danach betrug die Arbeitsfähigkeit der Beschwerdeführerin in ihrer (leidensangepassten) angestammten Tätigkeit von Januar 2006 bis Dezember 2008 60 %, von Januar bis Dezember 2009 42 % und seit Januar 2010 wiederum 60 %. Das Valideneinkommen hat sie ausgehend vom zuletzt erzielten Verdienst für 2007 auf Fr. 82'108.-, für 2009 auf Fr. 86'014.- und für 2010 auf Fr. 86'732.- festgelegt. Das Invalideneinkommen von Fr. 41'824.- (2007) resp. Fr. 30'473.- (2009) und Fr. 43'981.- (2010) hat sie auf der Basis von Tabellenlöhnen ermittelt. Daraus ergibt sich ein Invaliditätsgrad von 49 % (2007 und 2010) resp. 65 % (2009). Folglich hat das kantonale Gericht unter Verweis auf die Dreimonatsfrist von Art. 88a IVV (SR 831.201) die abgestufte Rentenzusprache der IV-Stelle bestätigt.</w:t>
      </w:r>
    </w:p>
    <w:p>
      <w:r>
        <w:t>Streitig und zu prüfen ist der Rentenanspruch einzig in Bezug auf die Höhe des Valideneinkommens 2007 und 2010.</w:t>
      </w:r>
    </w:p>
    <w:p>
      <w:r>
        <w:rPr>
          <w:b/>
        </w:rPr>
        <w:t>E. 3.1.1</w:t>
      </w:r>
    </w:p>
    <w:p>
      <w:r>
        <w:t>Für die Ermittlung des Valideneinkommens (vgl. Art. 16 ATSG [SR 830.1]) ist entscheidend, was die versicherte Person im Zeitpunkt des Rentenbeginns (resp. des veränderten Rentenanspruchs)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58 E. 3.1 S. 59; 134 V 322 E. 4.1 S. 325). Ist der zuletzt bezogene Lohn überdurchschnittlich hoch, ist er nur dann als Valideneinkommen heranzuziehen, wenn mit überwiegender Wahrscheinlichkeit feststeht, dass er weiterhin erzielt worden wäre (SVR 2011 IV Nr. 55 S. 163, 8C_671/2010 E. 4.5.1; 2009 IV Nr. 58   S. 181, 9C_5/2009 E. 2.3).</w:t>
      </w:r>
    </w:p>
    <w:p>
      <w:r>
        <w:rPr>
          <w:b/>
        </w:rPr>
        <w:t>E. 3.1.2</w:t>
      </w:r>
    </w:p>
    <w:p>
      <w:r>
        <w:t>Die Festsetzung des Valideneinkommens ist eine Tatfrage, soweit sie - wie hier - auf konkreter Beweiswürdigung beruht ( BGE 132 V 393 E. 3.3 S. 399; Urteil 9C_652/2013 vom 25. März 2014       E. 3.1).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3.3</w:t>
      </w:r>
    </w:p>
    <w:p>
      <w:r>
        <w:t>Neue Tatsachen und Beweismittel dürfen nur so weit vorgebracht werden, als erst der Entscheid der Vorinstanz dazu Anlass gibt       ( Art. 99 Abs. 1 BGG ).</w:t>
      </w:r>
    </w:p>
    <w:p>
      <w:r>
        <w:t>Die Beschwerdeführerin legt nicht dar und es ist auch nicht ersichtlich, weshalb die dem Bundesgericht neu eingereichten Unterlagen (diverse Kontoauszüge aus den Jahren 2005 und 2006) nicht in das vorinstanzliche Verfahren hätten eingebracht werden können: Die Höhe des Valideneinkommens war darin - wie auch im vorangegangenen Vorbescheidverfahren - bereits Streitgegenstand. Dass die Vorinstanz bei der Beweiswürdigung die Erwartungen der Beschwerdeführerin nicht erfüllt hat, bedeutet nicht, dass erst der angefochtene Entscheid Anlass zur Einreichung neuer Beweismittel gegeben hat (vgl. MEYER/DORMANN, in: Basler Kommentar, Bundesgerichtsgesetz, 2. Aufl. 2011, N. 47 zu Art. 99 BGG ). Diese sind daher unzulässig.</w:t>
      </w:r>
    </w:p>
    <w:p>
      <w:r>
        <w:rPr>
          <w:b/>
        </w:rPr>
        <w:t>E. 3.4.1</w:t>
      </w:r>
    </w:p>
    <w:p>
      <w:r>
        <w:t>Die Vorinstanz hat verbindlich (E. 1) festgestellt, die Versicherte habe die Stelle bei ihrer letzten Arbeitgeberin am 1. Januar 2006 angetreten, nachdem sie zuvor für den gleichen Konzern in F.________ gearbeitet habe. Gemäss Anstellungsvertrag vom 15. Dezember 2005 habe sich der jährliche Lohn aus einem "Base Salary" von Fr. 75'800.- und einem variablen, im Folgejahr auszuzahlenden "Target Cash Bonus" von maximal Fr. 6'600.- zusammengesetzt. Die obligatorische Unfallversicherung sei für den Unfall vom 10. Januar 2006 von einem Jahreslohn von Fr. 75'803.- ausgegangen, was dem "Base Salary" entspreche.</w:t>
      </w:r>
    </w:p>
    <w:p>
      <w:r>
        <w:t>Für die Feststellung des Valideneinkommens hat das kantonale Gericht auf den Arbeitgeberbericht vom 6. November 2006, der einen Jahreslohn von Fr. 80'753.- (13 Monatslöhne à Fr. 5'831.- und eine Gratifikation von Fr. 4'950.-) ausweist, abgestellt. Dabei hat es dargelegt, dass diese Angaben mit dem Arbeitsvertrag vereinbar seien und durch die eingereichten Lohnabrechnungen (Januar bis September 2006) gestützt werde. D.________, dem die Versicherte bei ihrer Anstellung in F.________ unterstellt war, habe im Schreiben vom 25. Juli 2012 eine ab Januar 2006 auszuzahlende Lohnerhöhung von Fr. 1'500.- erwähnt; diese sei in den Lohnabrechnungen nicht separat ausgewiesen, was den Schluss zulasse, sie sei im monatlichen Betrag von Fr. 5'831.- enthalten. Bei einer im Januar 2006 unter dem Titel "Bridging" erfolgten Zahlung von Fr. 10'450.- handle es sich um eine Einmalzahlung, was aus dem Begleitschreiben der Arbeitgeberin zum Arbeitsvertrag ebenso wie aus dem Schreiben des D.________ hervorgehe; sie sei demnach für das Folgejahr nicht zu berücksichtigen. Diese Summe erkläre die Differenz zwischen den Angaben im Arbeitgeberbericht und jenen im Lohnausweis 2006. Die Zahlen, die sich für die Jahre 2007, 2009 und 2010 nach Anpassung an die Lohnentwicklung ergäben, lägen im Bereich der von der Beschwerdeführerin genannten Grössenordnung gemäss Empfehlungen des KVZ.</w:t>
      </w:r>
    </w:p>
    <w:p>
      <w:r>
        <w:rPr>
          <w:b/>
        </w:rPr>
        <w:t>E. 3.4.2</w:t>
      </w:r>
    </w:p>
    <w:p>
      <w:r>
        <w:t>Inwiefern diese Beweiswürdigung und die darauf beruhende Feststellung des Invalideneinkommens offensichtlich unrichtig, d.h. unhaltbar resp. willkürlich (vgl. E. 3.2) sein sollen, ist nicht ersichtlich und wird auch nicht qualifiziert dargelegt (vgl. Art. 106 Abs. 2 BGG ). Im Gegenteil erscheinen die vorinstanzlichen Ausführungen einleuchtend und nachvollziehbar. Mit Bezug auf das Schreiben der Krankentaggeldversicherung vom 28. August 2012 hat das kantonale Gericht festgehalten, dass der Versicherten vom 23. März 2007 bis 6. Juli 2008 ein jährliches Taggeld von Fr. 88'820.- ausgerichtet worden sei. Auch wenn es sich dazu nicht weiter äusserte, hat es doch offensichtlich implizite angenommen, das Schreiben bilde keine Grundlage für die Annahme eines höheren Valideneinkommens (vgl. auch E. 3.4.3). Im Übrigen beschränkt sich die Beschwerdeführerin im Wesentlichen auf eine eigene, von der Vorinstanz abweichende Beweiswürdigung und Darstellung ihres hypothetischen Validenein-kommens, was nicht genügt (E. 1).</w:t>
      </w:r>
    </w:p>
    <w:p>
      <w:r>
        <w:rPr>
          <w:b/>
        </w:rPr>
        <w:t>E. 3.4.3</w:t>
      </w:r>
    </w:p>
    <w:p>
      <w:r>
        <w:t>Sodann beruht die Feststellung des Valideneinkommens auch nicht auf einer Rechtsverletzung. Angesichts der nicht offensichtlich unrichtigen Beweiswürdigung betreffend den Lohnausweis 2006 bestand diesbezüglich keine Veranlassung für weitere Ermittlungen. Auch das Schreiben der Taggeldversicherung erforderte nicht zwingend weitere Nachforschungen: Der Umstand allein, dass eine Taggeldzahlung erfolgte, lässt nicht den Schluss zu, dass deren Höhe gerechtfertigt war, und die Invalidenversicherung ist nicht an die Auffassung der Taggeldversicherung gebunden (vgl. BGE 133 V 549 E. 6. S. 553 ff.; Art. 49 Abs. 4 ATSG ). Daher und mit Blick auf die übrige Aktenlage (E. 3.4.1) hat die Vorinstanz in antizipierender Beweiswürdigung ( BGE 136 I 229 E. 5.3 S. 236 ; 134 I 140 E. 5.3 S. 148; 124 V 90 E. 4b S. 94) auf zusätzliche Abklärungen verzichtet, was keine Verletzung des Untersuchungsgrundsatzes ( Art. 61 lit. c ATSG ) darstellt.</w:t>
      </w:r>
    </w:p>
    <w:p>
      <w:r>
        <w:rPr>
          <w:b/>
        </w:rPr>
        <w:t>E. 3.4.4</w:t>
      </w:r>
    </w:p>
    <w:p>
      <w:r>
        <w:t>Dass der Jahreslohn 2006 nicht korrekt an die Nominallohnentwicklung angepasst worden oder in einem anderen Punkt unzutreffend sein soll, wird nicht vorgebracht. Nach dem Gesagten hat die Vorinstanz das Valideneinkommen für die Jahre 2007, 2009 und 2010 für das Bundesgericht verbindlich festgestellt (E. 1).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