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9C_734/2020 vom 22. Dezember 2020</w:t>
      </w:r>
    </w:p>
    <w:p>
      <w:r>
        <w:t>Bundesgericht, 2020-12-22, DE</w:t>
      </w:r>
    </w:p>
    <w:p>
      <w:r>
        <w:rPr>
          <w:b/>
        </w:rPr>
        <w:t xml:space="preserve">Quelle: </w:t>
      </w:r>
      <w:r>
        <w:t>https://mcp.opencaselaw.ch/entscheid/bger_9C_734_2020</w:t>
      </w:r>
    </w:p>
    <w:p>
      <w:r>
        <w:t>FR: TF 9C_734/2020 du 22 décembre 2020</w:t>
      </w:r>
    </w:p>
    <w:p>
      <w:r>
        <w:t>IT: TF 9C_734/2020 del 22 dicembre 2020</w:t>
      </w:r>
    </w:p>
    <w:p>
      <w:pPr>
        <w:pStyle w:val="Heading2"/>
      </w:pPr>
      <w:r>
        <w:t>Volltext</w:t>
      </w:r>
    </w:p>
    <w:p>
      <w:r>
        <w:t>Bundesgericht</w:t>
      </w:r>
    </w:p>
    <w:p>
      <w:r>
        <w:t>Tribunal fédéral</w:t>
      </w:r>
    </w:p>
    <w:p>
      <w:r>
        <w:t>Tribunale federale</w:t>
      </w:r>
    </w:p>
    <w:p>
      <w:r>
        <w:t>Tribunal federal</w:t>
      </w:r>
    </w:p>
    <w:p>
      <w:r>
        <w:t>9C_734/2020</w:t>
      </w:r>
    </w:p>
    <w:p>
      <w:r>
        <w:t>Urteil vom 22. Dezember 2020</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Ausgleichskasse des Kantons Aargau, Kyburgerstrasse 15, 5000 Aarau,</w:t>
      </w:r>
    </w:p>
    <w:p>
      <w:r>
        <w:t>Beschwerdegegnerin.</w:t>
      </w:r>
    </w:p>
    <w:p>
      <w:r>
        <w:t>Gegenstand</w:t>
      </w:r>
    </w:p>
    <w:p>
      <w:r>
        <w:t>Erwerbsersatz für Dienstleistende und bei Mutterschaft,</w:t>
      </w:r>
    </w:p>
    <w:p>
      <w:r>
        <w:t>Beschwerde gegen den Entscheid des Versicherungsgerichts des Kantons Aargau</w:t>
      </w:r>
    </w:p>
    <w:p>
      <w:r>
        <w:t>vom 23. Oktober 2020 (VBE.2020.404).</w:t>
      </w:r>
    </w:p>
    <w:p>
      <w:r>
        <w:t>Nach Einsicht</w:t>
      </w:r>
    </w:p>
    <w:p>
      <w:r>
        <w:t>in die Beschwerde vom 17. November 2020 (Poststempel) gegen den Entscheid des Versicherungsgerichts des Kantons Aargau vom 23. Oktober 2020,</w:t>
      </w:r>
    </w:p>
    <w:p>
      <w:r>
        <w:t>in Erwägung,</w:t>
      </w:r>
    </w:p>
    <w:p>
      <w:r>
        <w:t>dass das kantonale Gericht die bei ihm erhobene Beschwerde des A.________ teilweise guthiess, den Einspracheentscheid der Ausgleichskasse des Kantons Aargau vom 11. August 2020 aufhob und die Sache zur Vornahme weiterer Abklärungen im Sinne der Erwägungen sowie zur anschliessenden Neuverfügung an die Verwaltung zurückwies,</w:t>
      </w:r>
    </w:p>
    <w:p>
      <w:r>
        <w:t>dass es sich beim angefochtenen kantonalen Rückweisungsentscheid um einen selbstständig eröffneten Zwischenentscheid im Sinne von Art. 93 BGG handelt ( BGE 133 V 477 E. 4.2 und 4.3 S. 481 f.; 133 V 645 E. 2.1 S. 647),</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vorinstanzliche Rückweisungsentscheide, mit denen die Sache zur neuen Abklärung und Entscheidung an den Versicherungsträger zurückgewiesen wird, regelmässig keinen nicht wieder gutzumachenden Nachteil bewirken, führen sie doch lediglich zu einer (dieses Kriterium nicht erfüllenden) Verlängerung oder Verteuerung des Verfahrens ( BGE 140 V 282 E. 4.2 S. 286 mit Hinweisen),</w:t>
      </w:r>
    </w:p>
    <w:p>
      <w:r>
        <w:t>dass, weil Zwischenentscheide somit nur ausnahmsweise beim Bundesgericht angefochten werden können, es grundsätzlich der Beschwerde führenden Partei obliegt darzutun, in welcher Weise die genannten Eintretenserfordernisse erfüllt sind ( BGE 137 III 324 E. 1.1 S. 329 mit Hinweisen),</w:t>
      </w:r>
    </w:p>
    <w:p>
      <w:r>
        <w:t>dass der Beschwerdeführer mit keinem Wort darlegt, inwiefern einer der Tatbestände von Art. 93 Abs. 1 lit. a und b BGG gegeben sein sollte und solches auch nicht (offenkundig) ersichtlich ist, weshalb eine selbstständige Anfechtung des vorinstanzlichen Zwischenentscheides entfällt,</w:t>
      </w:r>
    </w:p>
    <w:p>
      <w:r>
        <w:t>dass dem Beschwerdeführer gegebenenfalls nach Massgabe des Art. 93 Abs. 3 BGG die Beschwerde gegen den Endentscheid offen stehen wird,</w:t>
      </w:r>
    </w:p>
    <w:p>
      <w:r>
        <w:t>dass die Beschwerde somit offensichtlich unzulässig ist ( Art. 108 Abs. 1 lit. a BGG ),</w:t>
      </w:r>
    </w:p>
    <w:p>
      <w:r>
        <w:t>dass ein Rechtsmittel des Weitern gemäss Art. 42 Abs. 1 und 2 BGG unter anderem die Begehren und deren Begründung zu enthalten hat, wobei in der Begründung in gedrängter Form darzulegen ist, inwiefern der angefochtene Akt Recht verletzt,</w:t>
      </w:r>
    </w:p>
    <w:p>
      <w:r>
        <w:t>dass die Beschwerde unter diesem Blickwinkel ebenfalls nicht zulässig wäre, da sie den inhaltlichen Mindestanforderungen offensichtlich nicht genügt, enthält sie doch weder einen rechtsgenüglichen Antrag noch kann den Ausführungen auch nur ansatzweise entnommen werden, inwiefern die vorinstanzliche Sachverhaltsfeststellung im Sinne von Art. 97 Abs. 1 BGG unzutreffend und die darauf beruhenden Erwägungen rechtsfehlerhaft sein sollen,</w:t>
      </w:r>
    </w:p>
    <w:p>
      <w:r>
        <w:t>dass deshalb im vereinfachten Verfahren nach Art. 108 Abs. 1 lit. a und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22. Dezember 2020</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