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733/2014 vom 9. März 2015</w:t>
      </w:r>
    </w:p>
    <w:p>
      <w:r>
        <w:t>Bundesgericht, 2015-03-09, DE</w:t>
      </w:r>
    </w:p>
    <w:p>
      <w:r>
        <w:rPr>
          <w:b/>
        </w:rPr>
        <w:t xml:space="preserve">Quelle: </w:t>
      </w:r>
      <w:r>
        <w:t>https://mcp.opencaselaw.ch/entscheid/bger_9C_733_2014</w:t>
      </w:r>
    </w:p>
    <w:p>
      <w:r>
        <w:t>FR: TF 9C 733/2014 du 9 mars 2015</w:t>
      </w:r>
    </w:p>
    <w:p>
      <w:r>
        <w:t>IT: TF 9C 733/2014 del 9 marzo 2015</w:t>
      </w:r>
    </w:p>
    <w:p>
      <w:pPr>
        <w:pStyle w:val="Heading2"/>
      </w:pPr>
      <w:r>
        <w:t>Regeste</w:t>
      </w:r>
    </w:p>
    <w:p>
      <w:r>
        <w:t>Invalidenversicherung (Invalidenrente) | Invalidenversicherung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1.1.1</w:t>
      </w:r>
    </w:p>
    <w:p>
      <w:r>
        <w:t>Eine Sachverhaltsfeststellung ist nicht schon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1.1.2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ihre eigene Beweiswürdigung zu erläutern. Die Rüge und ihre qualifizierte Begründung müssen in der Beschwerdeschrift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w:t>
      </w:r>
    </w:p>
    <w:p>
      <w:r>
        <w:rPr>
          <w:b/>
        </w:rPr>
        <w:t>E. 2.1</w:t>
      </w:r>
    </w:p>
    <w:p>
      <w:r>
        <w:t>Der Antrag auf Beschwerdeergänzung nach Zustellung der vorinstanzlichen Akten ist nicht einmal ansatzweise begründet, weshalb darauf nicht einzutreten ist. Ohnehin ist die zur Begründung der Beschwerde ans Bundesgericht notwendige Einsicht in Vorakten innert der Beschwerdefrist bei der Vorinstanz zu beantragen. Mithin kann die Beschwerde führende Partei - vorbehältlich des hier nicht gegebenen Falles, in welchem die Akteneinsicht zuvor verweigert wurde - nicht damit rechnen, wegen Beantragung der Akteneinsicht beim Bundesgericht Gelegenheit zur Ergänzung der Beschwerdeschrift nach Ablauf der Beschwerdefrist zu erhalten ( LAURENT MERZ, in: Basler Kommentar zum BGG, Basel 2011, N. 41 zu Art. 42 Abs. 2 BGG ).</w:t>
      </w:r>
    </w:p>
    <w:p>
      <w:r>
        <w:rPr>
          <w:b/>
        </w:rPr>
        <w:t>E. 2.2</w:t>
      </w:r>
    </w:p>
    <w:p>
      <w:r>
        <w:t>Der Antrag, es sei ein zweiter Schriftenwechsel (vgl. Art. 102 Abs. 3 BGG ) durchzuführen, ist ebenfalls nicht begründet. Dazu bestünde - weil auf die Durchführung eines Schriftenwechsels verzichtet wurde (vgl. E. 5 hiernach) - übrigens auch bei ausreichender Begründung kein Anlass.</w:t>
      </w:r>
    </w:p>
    <w:p>
      <w:r>
        <w:rPr>
          <w:b/>
        </w:rPr>
        <w:t>E. 3</w:t>
      </w:r>
    </w:p>
    <w:p>
      <w:r>
        <w:t>Die Vorinstanz erwog, die Beschwerdeführerin sei mit Schreiben vom 11. Januar 2013 über die Notwendigkeit einer medizinischen Begutachtung sowie über die Person des Gutachters informiert worden. Gleichzeitig sei sie explizit aufgefordert worden, allfällige Einwendungen gegen den Gutachter mitzuteilen. Solche seien in der Folge nicht erhoben worden. Der Umstand, dass ein Arzt von einem Sozialversicherungsträger als Gutachter beigezogen werde, stelle nach ständiger Rechtsprechung für sich allein keinen Ausstandsgrund dar. Aus der blossen Übernahme der Kosten des Gutachtens des Dr. med. C.________ durch die IV-Stelle könne der Beschwerdeführer folglich nichts ableiten, was gegen den Beweiswert des Gutachtens spreche. Der psychiatrische Experte, welchem das gesamte IV-Dossier - darunter namentlich der von der Beschwerdeführerin als Beweismittel angeführte Bericht des pract. med. D.________ vom 3. September 2012 - vorgelegen habe, habe die Beschwerdeführerin an drei Tagen während insgesamt sechs Stunden untersucht. Zusätzlich habe der Gutachter mit pract. med. D.________ telefoniert und dessen Auskünfte im Gutachten festgehalten. Dieses sei umfassend und beruhe auf allseitigen Untersuchungen. Der Gutachter gehe auf die geklagten Beschwerden ein, nehme Stellung zu abweichenden ärztlichen Beurteilungen und begründe seine Schlussfolgerungen konsistent und einleuchtend, weshalb die Verwaltung zu Recht darauf abgestellt habe. Die Beschwerdeführerin macht wie bereits im vorinstanzlichen Verfahren geltend, das Gutachten des Dr. med. C.________ vom 8. Mai 2013 stelle bloss ein Parteigutachten dar, womit eine unabhängige Sachverhaltsbeurteilung durch das Gericht nicht möglich und die Einholung eines "wirklich unabhängigen polydisziplinären Gutachtens" zwingend sei. Mit dem vorinstanzlichen Verzicht auf die Einholung eines solchen Gutachtens sei das Recht auf ein faires Verfahren ( Art. 29 BV , Art. 6 Ziff. 1 EMRK ) verletzt worden. Die Beschwerdeführerin setzt sich jedoch mit den Erwägungen des kantonalen Gerichts nicht auseinander, wonach gemäss gefestigter Praxis des Bundesgerichts ein Ausstandsgrund nicht schon deswegen gegeben ist, weil ein Gutachter vom Versicherungsträger regelmässig beigezogen wird, sondern erst, wenn er in der Sache persönlich befangen ist ( BGE 137 V 210 E. 1.3.3 S. 226; vgl. auch Urteil 8C_545/2013 vom 12. November 2013 E. 4.4). Deshalb ist in diesem Punkt nicht weiter auf ihre Vorbringen einzugehen. So oder anders wird weder dargelegt noch ist aufgrund der Akten ersichtlich, weshalb die Verwaltung eine bi- oder - wie beantragt - eine polydisziplinäre Begutachtung hätte durchführen sollen, zumal die Beschwerdeführerin einen Leistungsanspruch (einzig) aufgrund psychischer Beschwerden für gegeben hält. Soweit die Beschwerdeführerin zur Untermauerung ihres Standpunktes auf die Berichte der behandelnden Ärzte verweist, ohne auch nur am Rande auf die Ausführungen des psychiatrischen Experten zu den divergierenden medizinischen Einschätzungen einzugehen, übt sie unzulässige appellatorische Kritik (E. 1.1.2 hievor). Andere (hinreichend substanziierte) Einwendungen bringt die Beschwerdeführerin nicht vor, weshalb im Übrigen auf die willkürfreie, in allen Teilen bundesrechtskonforme Beweiswürdigung der Vorinstanz verwiesen werden kann.</w:t>
      </w:r>
    </w:p>
    <w:p>
      <w:r>
        <w:rPr>
          <w:b/>
        </w:rPr>
        <w:t>E. 4</w:t>
      </w:r>
    </w:p>
    <w:p>
      <w:r>
        <w:t>Was schliesslich den Einwand anbelangt, dem Ersuchen um unentgeltliche Rechtspflege sei vorinstanzlich zu Unrecht nicht entsprochen worden, kann ebenfalls auf die betreffenden Erwägungen im angefochtenen Entscheid verwiesen werden. Beschwerdeweise wird nichts dargetan, was die Erwägungen des kantonalen Gerichts zur fehlenden Aussichtslosigkeit als bundesrechtswidrig erscheinen liesse. Welche vorinstanzlich beantragten Beweismittel in Verletzung von Art. 29 Abs. 1 und 2 BV und Art. 6 Ziff. 1 EMRK nicht abgenommen worden sein sollen, belässt die Beschwerdeführerin im Dunkeln.</w:t>
      </w:r>
    </w:p>
    <w:p>
      <w:r>
        <w:rPr>
          <w:b/>
        </w:rPr>
        <w:t>E. 5</w:t>
      </w:r>
    </w:p>
    <w:p>
      <w:r>
        <w:t>Die Beschwerde wird im vereinfachten Verfahren nach Art. 109 Abs. 2 BGG - ohne Durchführung des Schriftenwechsels und unter Verweis auf den kantonalen Entscheid ( Art. 102 Abs. 1 und Art. 109 Abs. 3 BGG ) - abgewiesen.</w:t>
      </w:r>
    </w:p>
    <w:p>
      <w:r>
        <w:rPr>
          <w:b/>
        </w:rPr>
        <w:t>E. 6</w:t>
      </w:r>
    </w:p>
    <w:p>
      <w:r>
        <w:t>Die unterliegende Beschwerdeführerin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