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733/2009 vom 20. Januar 2010</w:t>
      </w:r>
    </w:p>
    <w:p>
      <w:r>
        <w:t>Bundesgericht, 2010-01-20, DE</w:t>
      </w:r>
    </w:p>
    <w:p>
      <w:r>
        <w:rPr>
          <w:b/>
        </w:rPr>
        <w:t xml:space="preserve">Quelle: </w:t>
      </w:r>
      <w:r>
        <w:t>https://mcp.opencaselaw.ch/entscheid/bger_9C_733_2009</w:t>
      </w:r>
    </w:p>
    <w:p>
      <w:r>
        <w:t>FR: TF 9C 733/2009 du 20 janvier 2010</w:t>
      </w:r>
    </w:p>
    <w:p>
      <w:r>
        <w:t>IT: TF 9C 733/2009 del 20 gennaio 2010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Gemäss § 80 der Statuten der Versicherungskasse für das Staatspersonal vom 22. Mai 1996 (BVK-Statuten; Zürcher Gesetzessammlung 177.21) kann gegen Entscheide der Kassenorgane jede betroffene Person, die ein eigenes schutzwürdiges Interesse an der Aufhebung oder Änderung des Entscheides hat, innert 30 Tagen nach Zustellung des Entscheides bei der Finanzdirektion Einsprache erheben. Der Beschwerdeführer machte von der Einsprachemöglichkeit Gebrauch und mit Einspracheentscheid vom 26. November 2007 reduzierte die Beschwerdegegnerin die vorher berechnete monatliche Alterskinderrente von Fr. 124.85 auf Fr. 122.65. Darin sieht der Beschwerdeführer eine unzulässige reformatio in peius, weil ihm nicht Gelegenheit gegeben worden sei, sich vor dem Entscheid hiezu zu äussern.</w:t>
      </w:r>
    </w:p>
    <w:p>
      <w:r>
        <w:rPr>
          <w:b/>
        </w:rPr>
        <w:t>E. 2.2</w:t>
      </w:r>
    </w:p>
    <w:p>
      <w:r>
        <w:t>Das beschwerdeführerische Argument, die Schlechterstellung im Einspracheverfahren hätte der vorherigen Androhung bedurft, ist unbehelflich. Von Bundesrechts wegen gilt in Berufsvorsorgesachen das Klageverfahren ( Art. 73 BVG ); ein allfälliges vorgelagertes Einspracheverfahren stellt kein Verwaltungsverfahren dar, auf welches verfassungsmässige Verfahrensgrundsätze anwendbar wären. Der Einspracheentscheid hat nur die Bedeutung einer Parteistellungnahme, und es handelt sich bei diesem namentlich nicht um eine Verwaltungsverfügung ( BGE 134 I 166 E. 2 S. 170).</w:t>
      </w:r>
    </w:p>
    <w:p>
      <w:r>
        <w:rPr>
          <w:b/>
        </w:rPr>
        <w:t>E. 3</w:t>
      </w:r>
    </w:p>
    <w:p>
      <w:r>
        <w:t>Die Rüge der Verletzung des rechtlichen Gehörs mit der Begründung, im vorinstanzlichen Verfahren sei die Zahlenbasis für die Leistungsbemessung nicht offen gelegt worden, dringt nicht durch. Vorab enthält der Einspracheentscheid vom 26. November 2007 die zahlenmässigen Grundlagen, so dass die Berechnung der Rente nachvollziehbar ist. Auch das BVG-Altersguthaben ist aufgrund des Gesetzes ( Art. 16 BVG ) überprüfbar. Zudem berechnet sich die Alterskinderrente nach Massgabe der Altersrente, deren Höhe der Beschwerdeführer nicht beanstandet hat.</w:t>
      </w:r>
    </w:p>
    <w:p>
      <w:r>
        <w:rPr>
          <w:b/>
        </w:rPr>
        <w:t>E. 4</w:t>
      </w:r>
    </w:p>
    <w:p>
      <w:r>
        <w:t>Streitig ist einzig die Auslegung der in § 18 BVK-Statuten enthaltenen Verweisung auf das BVG.</w:t>
      </w:r>
    </w:p>
    <w:p>
      <w:r>
        <w:rPr>
          <w:b/>
        </w:rPr>
        <w:t>E. 4.1</w:t>
      </w:r>
    </w:p>
    <w:p>
      <w:r>
        <w:t>Soweit es um die Bewilligung oder Verweigerung von Versicherungsleistungen geht, ist das kantonale und kommunale Berufsvorsorgerecht vom Bundesgericht frei zu überprüfen ( BGE 134 V 199 E. 1.2 S. 200). Da es sich bei der Versicherungskasse um eine Vorsorgeeinrichtung öffentlichen Rechts handelt, hat die Auslegung der einschlägigen Bestimmungen der BVK-Statuten - anders als die Auslegung der Vorsorgereglemente privatrechtlicher Versicherungsträger - nach den gewöhnlichen Regeln der Gesetzesauslegung zu erfolgen ( BGE 133 V 314 E. 4.1 S. 316 f., mit Hinweisen; Urteil B 104/06 vom 6. Juni 2007 E. 5.1, in: SVR 2008 BVG Nr. 2 S. 6).</w:t>
      </w:r>
    </w:p>
    <w:p>
      <w:r>
        <w:rPr>
          <w:b/>
        </w:rPr>
        <w:t>E. 4.2</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134 V 208 E. 2.2 S. 211; 130 II 65 E. 4.2 S. 71; 130 V 229 E. 2.2 S. 232, 294 E. 5.3.1 S. 295, 424 E. 3.2 S. 428 f., 472 E. 6.5.1 S. 475, 479 E. 5.2 S. 484; 129 V 283 E. 4.2 S. 284 f.).</w:t>
      </w:r>
    </w:p>
    <w:p>
      <w:r>
        <w:rPr>
          <w:b/>
        </w:rPr>
        <w:t>E. 5.1</w:t>
      </w:r>
    </w:p>
    <w:p>
      <w:r>
        <w:t>Laut § 18 BVK-Statuten wird Altersrentnern für jedes Kind "eine Kinderrente nach den Vorschriften des BVG" ausgerichtet. Bei Teilrücktritt oder Teilentlassung wird die Kinderrente entsprechend herabgesetzt. Gemäss Art. 17 BVG haben Versicherte, denen eine Altersrente zusteht, für jedes Kind, das im Falle ihres Todes eine Waisenrente beanspruchen könnte, Anspruch auf eine Kinderrente in Höhe der Waisenrente. Unter der Marginalie "Höhe der Rente" regelt Art. 21 Abs. 1 BVG , dass beim Tod eines Versicherten die Witwen- oder Witwerrente 60 Prozent, die Waisenrente 20 Prozent der vollen Invalidenrente beträgt, auf die der Versicherte Anspruch gehabt hätte. Art. 21 Abs. 2 BVG sieht vor, dass beim Tod einer Person, die eine Alters- oder Invalidenrente bezogen hat, die Witwen- oder Witwerrente 60 Prozent, die Waisenrente 20 Prozent der zuletzt ausgerichteten Alters- oder Invalidenrente beträgt.</w:t>
      </w:r>
    </w:p>
    <w:p>
      <w:r>
        <w:rPr>
          <w:b/>
        </w:rPr>
        <w:t>E. 5.2</w:t>
      </w:r>
    </w:p>
    <w:p>
      <w:r>
        <w:t>Der Beschwerdeführer stellt sich auf den Standpunkt, der Verweis auf die "Vorschriften des BVG" in § 18 BVK-Statuten meine den in Art. 21 Abs. 1 BVG geregelten Berechnungsmodus, wonach die Alterskinderrente 20 % der vollen Invalidenrente betrage ( Art. 17 BVG i.V.m. Art. 21 Abs. 1 BVG ), wobei der Begriff der "vollen Invalidenrente" auch den überobligatorischen Rententeil einschliesse. Bei Anwendung von Art. 21 Abs. 2 BVG bemesse sich die Kinderrente nach der zuletzt ausgerichteten Alters- oder Invalidenrente.</w:t>
      </w:r>
    </w:p>
    <w:p>
      <w:r>
        <w:rPr>
          <w:b/>
        </w:rPr>
        <w:t>E. 5.3</w:t>
      </w:r>
    </w:p>
    <w:p>
      <w:r>
        <w:t>Auf dem Weg der systematischen und historischen Auslegung erwog das kantonale Gericht, mit dem Verweis in § 18 BVK-Statuten auf "Vorschriften des BVG" sei die gesetzliche Mindestleistung (Obligatorium) gemeint, weshalb die Alterskinderrenten auf dem obligatorischen Teil des Sparguthabens zu berechnen seien. Wenn der Beschwerdeführer dagegen vorbringt, das BVG enthalte auch Bestimmungen über die weitergehende überobligatorische berufliche Vorsorge, weshalb die Verweisung von § 18 BVK-Statuten auf das BVG nicht zwingend nur das Obligatorium beinhalte, trifft dies zwar grundsätzlich zu. Indessen enthält das BVG keinerlei Vorschriften zu überobligatorischen Kinderrenten. Auch die Art. 17 und 21 BVG , auf welche sich der Beschwerdeführer beruft, stehen im ersten Titel über die obligatorische Versicherung der Arbeitnehmer und stellen für die Bemessung der Kinderrente auf 20 % der gesetzlichen Mindestrente ( Art. 14 ff. BVG ) ab (vgl. BGE 121 V 104 E. 5b S. 108; Urteil B 84/03 vom 30. Juni 2005 E. 4; Urteil B 74/04 vom 28. Juni 2005 E. 2; Urteil 2A.398/2002 vom 9. Juli 2003 E. 2). Demzufolge kann sich der Verweis in § 18 BVK-Statuten nur auf Kinderrenten der obligatorischen beruflichen Vorsorge beziehen.</w:t>
      </w:r>
    </w:p>
    <w:p>
      <w:r>
        <w:rPr>
          <w:b/>
        </w:rPr>
        <w:t>E. 5.4</w:t>
      </w:r>
    </w:p>
    <w:p>
      <w:r>
        <w:t>Die vorinstanzliche Interpretation von § 18 BVK-Statuten wird auch durch das systematische Auslegungselement bestärkt: Entgegen der Sichtweise des Beschwerdeführers stellt der Umstand, dass die Statuten in § 3 (Beginn und Ende der Versicherung) und § 13 (Verzinsung der Sparguthaben) von minimalem Lohn gemäss BVG und BVG-Mindestzinssatz sprechen, kein Indiz gegen die Auslegung im angefochtenen Entscheid dar. Denn das BVG nimmt Bezug auf verschiedene Löhne; so den für die Begründung des Versicherungsobligatoriums massgeblichen Mindestlohn ( Art. 7 BVG ) und den koordinierten Lohn ( Art. 8 BVG ; zur unterschiedlichen rechtlichen Bedeutung der Löhne vgl. HANS-ULRICH STAUFFER, Berufliche Vorsorge, 2005, N. 451). Sodann regelt Art. 15 Abs. 2 BVG den Mindestzins und Art. 15 Abs. 1 BVG umfasst den überobligatorisch gewährten Zins (vgl. Art. 16 Abs. 2 BVV 2 ). Die Bezugnahme der Statuten auf den jeweils massgeblichen Lohn und Zins ist damit erklärt und die begriffliche Unterscheidung in den Statuten gerechtfertigt. Soweit sich der Beschwerdeführer in der vorinstanzlichen Replik auf Entscheide des damaligen Eidg. Versicherungsgerichtes gestützt hat, lagen diesen andere reglementarische Bestimmungen zugrunde, die in ihrem systematischen Kontext nicht mit der hier auszulegenden übereinstimmen. Namentlich war in den Urteilen B 59/99 vom 22. Mai 2000 E. 3b (in: SVR 2000 BVG Nr. 11 S. 55) und B 52/00 vom 15. Januar 2001 E. 2b (in: FamPra.ch 2001, S. 847) die dort eigene Statutensystematik für die Bejahung des Anspruchs und die Bemessung der Hinterlassenenleistungen von Bedeutung. Das Urteil B 89/05 vom 13. Februar 2006 weist für die Auslegung auf die Berechnungsgrundlagen im Reglement hin, gemäss welchen die Kinderrenten nach der dem invaliden oder verstorbenen Versicherten ausgerichteten Alters- oder Invalidenrente berechnet werden, welche sich ihrerseits nach dem versicherten Einkommen bestimmen (E. 2.4.2). Schliesslich behandelt das Urteil B 85/04 vom 20. Dezember 2005 (in: SVR 2006 BVG Nr. 18 S. 63) eine Sache, in welcher bereits das Reglement die BVG-Minimalleistungen als massgeblich nannte (E. 3.2).</w:t>
      </w:r>
    </w:p>
    <w:p>
      <w:r>
        <w:rPr>
          <w:b/>
        </w:rPr>
        <w:t>E. 6</w:t>
      </w:r>
    </w:p>
    <w:p>
      <w:r>
        <w:t>Der von der BVK angewandte Berechnungsmodus ist nachvollziehbar und rechtlich nicht zu beanstanden. Die auf dieser Grundlage erfolgte Berechnung der Rente wird vom Beschwerdeführer nicht substanziiert in Frage gestellt, so dass darauf nicht weiter einzugehen ist ( Art. 105 Abs. 1 BGG ).</w:t>
      </w:r>
    </w:p>
    <w:p>
      <w:r>
        <w:rPr>
          <w:b/>
        </w:rPr>
        <w:t>E. 7</w:t>
      </w:r>
    </w:p>
    <w:p>
      <w:r>
        <w:t>Das Verfahren ist kostenpflichtig.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