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9C_732/2015 vom 29. März 2016</w:t>
      </w:r>
    </w:p>
    <w:p>
      <w:r>
        <w:t>Bundesgericht, 2016-03-29, DE</w:t>
      </w:r>
    </w:p>
    <w:p>
      <w:r>
        <w:rPr>
          <w:b/>
        </w:rPr>
        <w:t xml:space="preserve">Quelle: </w:t>
      </w:r>
      <w:r>
        <w:t>https://mcp.opencaselaw.ch/entscheid/bger_9C_732_2015</w:t>
      </w:r>
    </w:p>
    <w:p>
      <w:r>
        <w:t>FR: TF 9C_732/2015 du 29 mars 2016</w:t>
      </w:r>
    </w:p>
    <w:p>
      <w:r>
        <w:t>IT: TF 9C_732/2015 del 29 marzo 2016</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Die Vorinstanz hat gestützt auf das polydisziplinäre Gutachten des Zentrums für medizinische Begutachtung (ZMB) vom 22. März 2012festgestellt, dass der Versicherte in einer leidensadaptierten Tätigkeit vom März 2004 (Ablauf des Wartejahres) bis März 2006 uneingeschränkt und spätestens ab 2008 noch zu 50 % arbeitsfähig gewesen sei. In Abweichung vom ZMB-Gutachten ergebe sich - zu Gunsten des Versicherten - aus den Berichten über zwei halbjährige Arbeitstrainings, dass die Arbeitsfähigkeit bereits ab März 2006 um 50 % eingeschränkt gewesen sei. Weiter hat das kantonale Gericht die Invaliditätsbemessungen der IV-Stelle und folglich, unter Berücksichtigung von Art. 88a Abs. 2 IVV (SR 831.201), den Anspruch auf eine Dreiviertelsrente ab 1. Juni 2006 bestätigt.</w:t>
      </w:r>
    </w:p>
    <w:p>
      <w:r>
        <w:t>Streitig und zu prüfen ist - entsprechend dem Rechtsbegehren und der Beschwerdebegründung - lediglich der Rentenanspruch vom 1. März 2004 bis zum 31. Mai 2006.</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3.1.2</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BGE 125 V 193 E. 2 S. 195; je mit Hinweisen; vgl. BGE 130 III 321 E. 3.2 und 3.3 S. 324 f.; SVR 2011 UV Nr. 11 S. 39, 8C_693/2010 E. 10).</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221 f.).</w:t>
      </w:r>
    </w:p>
    <w:p>
      <w:r>
        <w:rPr>
          <w:b/>
        </w:rPr>
        <w:t>E. 3.2</w:t>
      </w:r>
    </w:p>
    <w:p>
      <w:r>
        <w:t>Es steht fest, dass dem Versicherten aus somatischer Sicht die bisherige Tätigkeit als Maurer nicht mehr zumutbar ist. Eine quantitative Einschränkung bei leidensangepassten Arbeiten wurde psychiatrisch begründet. Der Beschwerdeführer macht im Wesentlichen geltend, die anerkannte Arbeitsunfähigkeit von 50 % (in angepassten Tätigkeiten) sei nicht erst im März 2006 eingetreten, sondern habe bereits zuvor bestanden. Er beruft sich dabei insbesondere auf die Einschätzungen der Ärzte der Rehaklinik  B.________ (Austrittsbericht vom 8. Juni 2004 samt Anhang), des Hausarztes (Bericht vom 28. August 2003), des SUVA-Kreisarztes (Berichte vom 18. März und 3. August 2004) und des Neurologen  Dr. med. C.________ (Bericht vom 12. Februar 2005). Die ZMB-Gutachten hält er in Bezug auf die Periode bis März 2006 für nicht "beweistauglich".</w:t>
      </w:r>
    </w:p>
    <w:p>
      <w:r>
        <w:rPr>
          <w:b/>
        </w:rPr>
        <w:t>E. 3.3.1</w:t>
      </w:r>
    </w:p>
    <w:p>
      <w:r>
        <w:t>Aus den genannten Berichten des Hausarztes, des SUVA-Kreisarztes und des  Dr. med. C.________ lässt sich nichts für den Versicherten ableiten: Einerseits fehlt es für die Annahme einer anhaltenden Einschränkung der Arbeitsfähigkeit aus psychiatrischer Sicht bereits an der fachärztlichen Qualifikation ( BGE 130 V 396 E. 5.3 und 6 S. 398 ff.). Anderseits stellte der SUVA-Kreisarzt eine Aggravation fest, während die Berichte der beiden anderen Ärzte von vornherein keine nachvollziehbare Begründung enthalten.</w:t>
      </w:r>
    </w:p>
    <w:p>
      <w:r>
        <w:rPr>
          <w:b/>
        </w:rPr>
        <w:t>E. 3.3.2</w:t>
      </w:r>
    </w:p>
    <w:p>
      <w:r>
        <w:t>Im Austrittsbericht der Rehaklinik  B.________ vom 28. August 2003wurde eine um 50 % reduzierte Arbeitsfähigkeit (ganztags reduzierte Leistung) attestiert. Die unterzeichnenden Ärztinnen, die ebenfalls nicht über eine psychiatrische Fachausbildung verfügen, hatten zuvor ein fachärztliches Konsilium eingeholt. Dabei wurde wohl eine Anpassungsstörung, Angst und depressive Reaktion gemischt (ICD-10: F43.2) diagnostiziert, aber eine darauf beruhende Einschränkung der Arbeitsfähigkeit weder attestiert noch einleuchtend dargelegt. In medizinischer Hinsicht wurde denn auch lediglich die "Weiterbetreuung in der hausärztlichen Praxis" empfohlen.</w:t>
      </w:r>
    </w:p>
    <w:p>
      <w:r>
        <w:rPr>
          <w:b/>
        </w:rPr>
        <w:t>E. 3.3.3</w:t>
      </w:r>
    </w:p>
    <w:p>
      <w:r>
        <w:t>Das kantonale Gericht stellte bei der Begründung der Rückweisung in E. 4.3 des Entscheids vom 17. Februar 2011 folgende Punkte in den Vordergrund: Der psychiatrische ZMB-Experte habe anlässlich der im Dezember 2005 erfolgten Untersuchung keine Rücksprache mit dem behandelnden Psychiater des Versicherten,  Dr. med. D.________, genommen und von diesem auch keinen Bericht angefordert. Sodann hätten die Gutachter, als sie ihre nachträglichen Stellungnahmen vom 6. November 2006 und 3. Juni 2008 abgaben, keine Kenntnis von den Berichten der Integrationsorganisationen über zwei absolvierte halbjährige Arbeitstrainings gehabt und sich dazu nicht geäussert. Schliesslich seien seit der Begutachtung durch das ZMB rund 4,5 Jahre verstrichen; es sei fraglich, ob die Einschätzung der aktuellen Situation entspreche.</w:t>
      </w:r>
    </w:p>
    <w:p>
      <w:r>
        <w:t>Nur der erste der drei genannten Punkte betrifft die hier interessierende Zeitperiode. Im ZMB-Gutachten vom 22. März 2012wurde festgehalten, dass Dr. med. D.________ telefonisch nicht erreichbar war, aber dessen Bericht vom 20. Januar 2012 berücksichtigt wurde. Aus diesem geht hervor, dass sich der Versicherte "seit dem 30. Januar 2007 in regelmässiger ambulanter psychiatrischer Behandlung" befinde. Zum vorangegangenen Zeitraum ergibt sich aus den Angaben des Dr. med. D.________ nichts zu Gunsten des Versicherten.</w:t>
      </w:r>
    </w:p>
    <w:p>
      <w:r>
        <w:rPr>
          <w:b/>
        </w:rPr>
        <w:t>E. 3.4</w:t>
      </w:r>
    </w:p>
    <w:p>
      <w:r>
        <w:t>Nach dem Gesagten bilden die genannten Akten - auch mit Blick auf BGE 141 V 281 - keine zuverlässige Grundlage für die Annahme einer quantitativ eingeschränkten Arbeitsfähigkeit im interessierenden Zeitraum. Angesichts der grossen zeitlichen Distanz von mindestens zehn Jahren sind weitere Abklärungen aussichtslos (antizipierende Beweiswürdigung; BGE 136 I 229 E. 5.3 S. 236 ; 134 I 140 E. 5.3 S. 148; 124 V 90 E. 4b S. 94), weshalb der Eventualantrag auf Rückweisung abzuweisen ist. Die Folgen der Beweislosigkeit hat der Versicherte zu tragen (E. 3.1.2).</w:t>
      </w:r>
    </w:p>
    <w:p>
      <w:r>
        <w:t>Die vorinstanzliche Beweiswürdigung und die Feststellungen betreffend die Arbeitsfähigkeit vom März 2004 bis März 2006 (E. 2) sind nicht offensichtlich unrichtig (unhaltbar, willkürlich: BGE 135 II 145 E. 8.1 S. 153; Urteil 9C_607/2012 vom 17. April 2013 E. 5.2; zum Begriff der Willkür: BGE 140 III 16 E. 2.1 S. 18 f. mit Hinweisen). Sie beruhen auch nicht auf einer Rechtsverletzung, weshalb sie für das Bundesgericht verbindlich bleiben (E. 1).</w:t>
      </w:r>
    </w:p>
    <w:p>
      <w:r>
        <w:rPr>
          <w:b/>
        </w:rPr>
        <w:t>E. 3.5</w:t>
      </w:r>
    </w:p>
    <w:p>
      <w:r>
        <w:t>Dass bei diesem Ergebnis bereits ab März 2004 ein rentenbegründender Invaliditätsgrad ( Art. 28 Abs. 2 IVG ) resultieren soll, ist nicht ersichtlich und macht auch der Beschwerdeführer nicht geltend. Folglich hat das kantonale Gericht einen entsprechenden Anspruch auf Verzugszins ebenfalls zu Recht verneint. Die Beschwerde ist unbegründet.</w:t>
      </w:r>
    </w:p>
    <w:p>
      <w:r>
        <w:rPr>
          <w:b/>
        </w:rPr>
        <w:t>E. 4.1</w:t>
      </w:r>
    </w:p>
    <w:p>
      <w:r>
        <w:t>Dem Ausgang des Verfahrens entsprechend hat der Beschwerdeführer grundsätzlich die Gerichtskosten zu tragen ( Art. 66 Abs. 1 BGG ). Seinem Gesuch um unentgeltliche Rechtspflege kann jedoch entsprochen werden ( Art. 64 BGG ). Er hat der Bundesgerichtskasse Ersatz zu leisten, wenn er später dazu in der Lage ist ( Art. 64 Abs. 4 BGG ).</w:t>
      </w:r>
    </w:p>
    <w:p>
      <w:r>
        <w:rPr>
          <w:b/>
        </w:rPr>
        <w:t>E. 4.2</w:t>
      </w:r>
    </w:p>
    <w:p>
      <w:r>
        <w:t>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(SVR 2015 BVG Nr. 56 S. 236, 9C_377/2014 E. 5.2; Urteile 9C_918/2012 vom 28. Januar 2013 E. 3.2; 8C_675/2012 vom 7. Dezember 2012 E. 6.2; 8C_370/2010 vom 7. Februar 2011 E. 8.2).</w:t>
      </w:r>
    </w:p>
    <w:p>
      <w:r>
        <w:t>Die Parteientschädigung ist entgegen der vom Rechtsvertreter des Beschwerdeführers eingereichten Honorarnote vom 5. Oktober 2015 nicht auf Fr. 3'348.- festzusetzen. Darin wird insbesondere das (pauschal) geltend gemachte Honorar von Fr. 3'000.- nicht nach Aufwand spezifiziert; zudem fehlen Ausführungen zur Wichtigkeit der Streitsache und zum Umfang der Arbeitsleistung (vgl. Art. 3 Abs. 1 und 3 des genannten Reglements). Mit Blick darauf, dass die Streitsache nicht als überaus schwierig einzustufen ist, erscheint eine Entschädigung in praxisgemässer Höhe als angemessen (vgl. SVR 2015 BVG Nr. 56 S. 236, 9C_377/2014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