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9C_732/2009 vom 20. Oktober 2009</w:t>
      </w:r>
    </w:p>
    <w:p>
      <w:r>
        <w:t>Bundesgericht, 2009-10-20, DE</w:t>
      </w:r>
    </w:p>
    <w:p>
      <w:r>
        <w:rPr>
          <w:b/>
        </w:rPr>
        <w:t xml:space="preserve">Quelle: </w:t>
      </w:r>
      <w:r>
        <w:t>https://mcp.opencaselaw.ch/entscheid/bger_9C_732_2009</w:t>
      </w:r>
    </w:p>
    <w:p>
      <w:r>
        <w:t>FR: TF 9C_732/2009 du 20 octobre 2009</w:t>
      </w:r>
    </w:p>
    <w:p>
      <w:r>
        <w:t>IT: TF 9C_732/2009 del 20 ottobre 2009</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revisionsrechtlich massgeblichen Vergleichszeitraum entwickelt haben (Urteil I 692/06 vom 19. Dezember 2006, E. 3.1).</w:t>
      </w:r>
    </w:p>
    <w:p>
      <w:r>
        <w:rPr>
          <w:b/>
        </w:rPr>
        <w:t>E. 2</w:t>
      </w:r>
    </w:p>
    <w:p>
      <w:r>
        <w:t>Streitig ist die Höhe des Rentenanspruchs. Das kantonale Gericht hat die für die Beurteilung einschlägigen rechtlichen Grundlagen zutreffend dargelegt. Dies betrifft insbesondere auch die massgeblichen Bestimmungen und Grundsätze zur Beurteilung der Statusfrage und damit zur anwendbaren Invaliditätsbemessungsmethode (bei teilerwerbstätigen Versicherten nach der gemischten Methode; aArt. 28 Abs. 2ter IVG in Verbindung mit Art. 27bis IVV ; BGE 133 V 477 E. 6.3 S. 486 f. mit Hinweisen, 504 E. 3.3 S. 507 f.; 130 V 393 E. 3.3 S. 395 f.; 125 V 146 E. 2c S. 150 mit Hinweisen; vgl. auch Urteil 9C_49/2008 vom 28. Juli 2008 E. 3.1-3.4) sowie zum Beweiswert eines Berichts über die Abklärung im Haushalt (Urteile I 90/02 vom 30. Dezember 2002 E. 2.3.2, nicht publ. in: BGE 129 V 67 , aber in: AHI 2003 S. 215, I 236/06 vom 19. Juni 2006 E. 3.2 und I 733/03 vom 6. April 2004 E. 5.1.2).</w:t>
      </w:r>
    </w:p>
    <w:p>
      <w:r>
        <w:rPr>
          <w:b/>
        </w:rPr>
        <w:t>E. 3</w:t>
      </w:r>
    </w:p>
    <w:p>
      <w:r>
        <w:t>Zu prüfen ist, in welchem Ausmass die Beschwerdeführerin ohne gesundheitliche Beeinträchtigung erwerbstätig wäre. Während die Vorinstanz und die IV-Stelle von einer Quote von 50 % ausgehen, macht die Beschwerdeführerin eine Vollzeiterwerbstätigkeit im Gesundheitsfall geltend.</w:t>
      </w:r>
    </w:p>
    <w:p>
      <w:r>
        <w:rPr>
          <w:b/>
        </w:rPr>
        <w:t>E. 3.1</w:t>
      </w:r>
    </w:p>
    <w:p>
      <w:r>
        <w:t>Die Frage, in welchem Ausmass die versicherte Person ohne gesundheitliche Beeinträchtigung erwerbstätig wäre, ist mit Rücksicht auf die gesamten Umstände, so die persönlichen, familiären, sozialen und erwerblichen Verhältnisse, zu beantworten (in BGE 130 V 396 nicht publizierte E. 3.3, 125 V 146 E. 2c S. 150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440 E. 5b S. 448; Urteil 4C.213/1990 vom 21. Mai 1991 E. 3b). Ebenso sind Feststellungen über innere oder psychische Tatsachen Tatfragen, wie beispielsweise was jemand wollte oder wusste ( BGE 130 IV 58 E. 8.5 S. 62, 125 III 435 E. 2a/aa S. 436, 124 III 182 E. 3 S. 184; Fabienne Hohl, Procédure civile, Band II, Bern 2002, S. 295 Rz 3219). Rechtsfragen sind hingegen Folgerungen, die ausschliesslich - losgelöst vom konkreten Sachverhalt - auf die allgemeine Lebenserfahrung gestützt werden ( BGE 132 V 393 E. 3.3 S. 399; Urteil 4C.213/1990 vom 21. Mai 1991 E. 3b; Peter Münch in: Geiser/Münch [Hrsg.], Prozessieren vor Bundesgericht, 2. Aufl., Basel 1998, S. 135 Rz 4.43; Hohl, a.a.O., S. 297 Rz 3227), oder die Frage, ob aus festgestellten Indizien mit Recht auf bestimmte Rechtsfolgen geschlossen worden ist (z.B. auf Rechtsmissbrauch, vgl. Urteil 2A.545/1999 vom 31. Januar 2000 E. 2b).</w:t>
      </w:r>
    </w:p>
    <w:p>
      <w:r>
        <w:rPr>
          <w:b/>
        </w:rPr>
        <w:t>E. 3.2</w:t>
      </w:r>
    </w:p>
    <w:p>
      <w:r>
        <w:t>Nach diesen Grundsätzen ist die auf eine Würdigung konkreter Umstände gestützte Festsetzung des hypothetischen Umfanges der Erwerbstätigkeit eine Tatfrage, welche das Bundesgericht nur eingeschränkt (E. 1) überprüft. Eine Rechtsfrage läge vor, wenn - was hier nicht der Fall ist - die Vorinstanz ihre Folgerung, die Beschwerdeführerin wäre im Gesundheitsfall zu 50 % erwerbstätig, ausschliesslich auf die allgemeine Lebenserfahrung gestützt hätte (Urteil I 708/06 vom 23. November 2006 E. 3.1 und 3.2). Das kantonale Gericht hat ausführlich begründet, weshalb die Versicherte auch im Gesundheitsfall vorerst höchstens zu 50 % erwerbstätig wäre und darum die Voraussetzungen für einen Statuswechsel erfüllt sind; dabei hat es die ausschlaggebenden Argumente korrekt gegeneinander abgewogen (vgl. vorinstanzlicher Entscheid E. 4b-f). Es wird nichts vorgebracht, was diese Sachverhaltsfeststellung als offensichtlich unrichtig erscheinen lässt.</w:t>
      </w:r>
    </w:p>
    <w:p>
      <w:r>
        <w:rPr>
          <w:b/>
        </w:rPr>
        <w:t>E. 4</w:t>
      </w:r>
    </w:p>
    <w:p>
      <w:r>
        <w:t>Soweit die Beschwerdeführerin rügt, mit der getroffenen Annahme werde das Grundrecht auf Rechtsgleichheit (Gleichbehandlung der Geschlechter und Diskriminierungsverbot; Art. 8 Abs. 2 und 3 BV ) verletzt, ist darauf nicht näher einzugehen: Denn das Bundesgericht prüft die Verletzung von Grundrechten nur insofern, als eine solche Rüge in der Beschwerde nicht nur vorgebracht, sondern auch begründet worden ist ( Art. 106 Abs. 2 BGG ). Dies ist hier eindeutig in nicht genügendem Masse erfolgt.</w:t>
      </w:r>
    </w:p>
    <w:p>
      <w:r>
        <w:rPr>
          <w:b/>
        </w:rPr>
        <w:t>E. 5</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