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9C_72/2013 vom 17. Januar 2014</w:t>
      </w:r>
    </w:p>
    <w:p>
      <w:r>
        <w:t>Bundesgericht, 2014-01-17, DE</w:t>
      </w:r>
    </w:p>
    <w:p>
      <w:r>
        <w:rPr>
          <w:b/>
        </w:rPr>
        <w:t xml:space="preserve">Quelle: </w:t>
      </w:r>
      <w:r>
        <w:t>https://mcp.opencaselaw.ch/entscheid/bger_9C_72_2013</w:t>
      </w:r>
    </w:p>
    <w:p>
      <w:r>
        <w:t>FR: TF 9C_72/2013 du 17 janvier 2014</w:t>
      </w:r>
    </w:p>
    <w:p>
      <w:r>
        <w:t>IT: TF 9C_72/2013 del 17 gennaio 2014</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2.2</w:t>
      </w:r>
    </w:p>
    <w:p>
      <w:r>
        <w:t>Die Vorinstanz hat unter Verweis auf die medizinischen Unterlagen, die Stellungnahmen des Regionalen Ärztlichen Dienstes sowie des Gutachtens des Instituts X.________ vom 11. November 2010 (mitsamt Ergänzung vom 2. Februar 2011) festgestellt, aus polydisziplinärer Sicht bestehe eine volle Arbeits- und Leistungsfähigkeit für sämtliche körperlich leichten und mittelschweren geeigneten Tätigkeiten unter Wechselbelastung. Im Haushalt bestehe keine Arbeitsunfähigkeit. In qualitativer Hinsicht sollte das Heben und Tragen von Lasten über 15 kg sowie ein häufiger Einsatz der rechten oberen Extremität oberhalb der Horizontalen vermieden werden. Aus internistischer Sicht habe der Morbus Crohn, der sich klinisch in Remission befinde, lediglich einen qualitativen Einfluss auf die Arbeitsfähigkeit. Eine länger andauernde höhergradige Arbeitsunfähigkeit könne nicht nachvollzogen werden.</w:t>
      </w:r>
    </w:p>
    <w:p>
      <w:r>
        <w:rPr>
          <w:b/>
        </w:rPr>
        <w:t>E. 2.3</w:t>
      </w:r>
    </w:p>
    <w:p>
      <w:r>
        <w:t>Wenn das kantonale Gericht eine im wesentlichen volle Arbeits- und Leistungsfähigkeit für sämtliche körperlich leichten und mittelschweren geeigneten Tätigkeiten unter Wechselbelastung festgestellt und eine länger andauernde höhergradige Arbeitsunfähigkeit als nicht überwiegend wahrscheinlich bezeichnet hat, so bleiben diese Entscheidungen über Tatfragen für das Bundesgericht verbindlich (E. 1). Denn die Beschwerde legt weder eine offensichtlich unrichtige (unhaltbare oder willkürliche; BGE 132 III 209 E. 2.1 S. 211; Urteil 9C_949/2012 vom 28. Mai 2013) noch eine auf einer Rechtsverletzung beruhende Tatsachenfeststellung dar. Insbesondere ist, entgegen der Rüge in der Beschwerde, ein Verstoss gegen den Untersuchungsgrundsatz von vornherein nicht ersichtlich, da die gesundheitlichen Verhältnisse durch das Gutachten medizinisch umfassend abgeklärt wurden ( Art. 43 und 44 ATSG ). Der Umstand, dass diese Administrativexpertise zu teilweise anderen Erkenntnissen gelangt ist als behandelnde Ärzte, bedeutet nicht, dass Widersprüche vorlägen, die nach weiteren Beweismassnahmen rufen würden. Im Grunde genommen beschlagen sämtliche Vorbringen in der Beschwerde - nach ihrem wirklichen Gehalt betrachtet - lediglich die vorinstanzliche Beweiswürdigung, welcher die Beschwerdeführerin ihre abweichende Sichtweise entgegenhält, was im Rahmen von Art. 97 Abs. 1 und Art. 105 Abs. 2 BGG nicht genügt.</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