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9C_729/2014 vom 16. April 2015</w:t>
      </w:r>
    </w:p>
    <w:p>
      <w:r>
        <w:t>Bundesgericht, 2015-04-16, DE</w:t>
      </w:r>
    </w:p>
    <w:p>
      <w:r>
        <w:rPr>
          <w:b/>
        </w:rPr>
        <w:t xml:space="preserve">Quelle: </w:t>
      </w:r>
      <w:r>
        <w:t>https://mcp.opencaselaw.ch/entscheid/bger_9C_729_2014</w:t>
      </w:r>
    </w:p>
    <w:p>
      <w:r>
        <w:t>FR: TF 9C_729/2014 du 16 avril 2015</w:t>
      </w:r>
    </w:p>
    <w:p>
      <w:r>
        <w:t>IT: TF 9C_729/2014 del 16 aprile 2015</w:t>
      </w:r>
    </w:p>
    <w:p>
      <w:pPr>
        <w:pStyle w:val="Heading2"/>
      </w:pPr>
      <w:r>
        <w:t>Erwägungen</w:t>
      </w:r>
    </w:p>
    <w:p>
      <w:r>
        <w:rPr>
          <w:b/>
        </w:rPr>
        <w:t>E. 1</w:t>
      </w:r>
    </w:p>
    <w:p>
      <w:r>
        <w:t>Der Beschwerdeführer stellt im Hauptstandpunkt ein Feststellungsbegehren, das indes im Lichte der Beschwerdebegründung (vgl. in BGE 130 V 61 nicht publizierte E. 3.2.1 des Urteils I 138/02 vom 27. Oktober 2003) als Leistungsbegehren auf Weiterausrichtung der Hilflosenentschädigung über den 31. August 2013 hinaus zu interpretieren und als solches zulässig ist.</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3</w:t>
      </w:r>
    </w:p>
    <w:p>
      <w:r>
        <w:t>Versicherte mit Wohnsitz und gewöhnlichem Aufenthalt ( Art. 13 ATSG ) in der Schweiz, die hilflos ( Art. 9 ATSG ) sind, haben Anspruch auf eine Hilflosenentschädigung ( Art. 42 Abs. 1 Satz 1 IVG ).</w:t>
      </w:r>
    </w:p>
    <w:p>
      <w:r>
        <w:t>Der Wohnsitz einer Person befindet sich an dem Orte, wo sie sich mit der Absicht dauernden Verbleibens aufhält ( Art. 1 Abs. 1 IVG i.V.m. Art. 13 Abs. 1 ATSG und Art. 23 Abs. 1 ZGB ). Ihren gewöhnlichen Aufenthalt hat eine Person an dem Ort, an dem sie während längerer Zeit lebt, selbst wenn diese Zeit zum Vornherein befristet ist ( Art. 13 Abs. 2 ATSG ). Nach der Rechtsprechung ist für den "gewöhnlichen Aufenthalt" der tatsächliche Aufenthalt in der Schweiz und der Wille, diesen Aufenthalt aufrechtzuerhalten, massgebend; zusätzlich dazu muss sich der Schwerpunkt aller Beziehungen in der Schweiz befinden ( BGE 119 V 98 E. 6c S. 108, 111 E. 7b S. 117; 112 V 164 E. 1a S. 166). Die in objektivem Sinne zu verstehende Voraussetzung des tatsächlichen Aufenthalts wird in der Regel nach der Ausreise ins Ausland nicht mehr erfüllt. Bei vorübergehendem Aufenthalt ohne Absicht, die Schweiz für immer zu verlassen, lässt das Aufenthaltsprinzip jedoch die beiden Ausnahmen des voraussichtlich kurzfristigen und des voraussichtlich längerfristigen Auslandaufenthaltes zu.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 BGE 111 V 180 E. 4 S. 183; Urteil P 25/06 vom 23. August 2007 E. 4.1).</w:t>
      </w:r>
    </w:p>
    <w:p>
      <w:r>
        <w:rPr>
          <w:b/>
        </w:rPr>
        <w:t>E. 4.1</w:t>
      </w:r>
    </w:p>
    <w:p>
      <w:r>
        <w:t>Die Vorinstanz erwog, der Beschwerdeführer reise gemäss eigenen Angaben seit 2008 jährlich nach Thailand. Während er gemäss den Einträgen der Reisepässe 2008 lediglich 41 Tage in Thailand verbracht habe, sei die Dauer kontinuierlich auf über 200 Tage in den Jahren 2012 (224 Tage) und 2013 (215 Tage) angestiegen, womit eine klare Tendenz zu einem überwiegenden Aufenthalt in Thailand zu erkennen sei. Im Zeitraum der Aufhebung der Hilflosenentschädigung im Herbst 2013 habe der Beschwerdeführer ca. zwei Drittel des Jahres in Thailand gelebt. Es sei davon auszugehen, dass der Beschwerdeführer im Verfügungszeitpunkt mit seiner thailändischen Freundin bereits verheiratet gewesen sei. Die sozialen Kontakte in der Schweiz beschränkten sich laut der offerierten Zeugenliste auf seine Schwester, deren Tochter (sein Patenkind), den Neffen, die Putzfrau/ Haushälterin seiner Eigentumswohnung und einen inzwischen ausgewanderten Freund. In der Gesamtschau überwiegten die Indizien für einen gewöhnlichen Aufenthalt in Thailand deutlich. So lebe die Ehefrau dort im gemeinsamen (gemieteten) Haus und der Beschwerdeführer verbringe in Thailand mehr Zeit als in der Schweiz. Es sei davon auszugehen, dass die Pflegetätigkeiten, welche früher durch die Schwester des Beschwerdeführers oder eine Spitex (ähnliche) Organisation durchgeführt worden seien, nunmehr von der Ehefrau übernommen würden. Nachdem der Beschwerdeführer seine Ehefrau seit Jahren kenne, bestünden keine Anhaltspunkte dafür, dass die Ehe nicht tatsächlich gelebt werde. Auf der anderen Seite verfüge der Beschwerdeführer zwar über eine 3,5-Zimmer Eigentumswohnung sowie über die erwähnten Bezugspersonen in der Schweiz. Mit überwiegender Wahrscheinlichkeit sei die eheliche Beziehung aber von weit höherer Bedeutung als der Kontakt zu diesen. Auch die Hinterlegung der Schriften und die Steuerpflicht vermöchten keinen Schwerpunkt der Lebensverhältnisse in der Schweiz zu begründen. Mangels gewöhnlichen Aufenthalts in der Schweiz seien die Anspruchsvoraussetzungen für eine Hilflosenentschädigung der Invalidenversicherung nicht mehr erfüllt und die Verfügung vom 11. Februar 2014 rechtens. Somit könne offen gelassen werden, ob die Eventualbegründung der IV-Stelle (unzulässige Leistungskumulation) zutreffend sei.</w:t>
      </w:r>
    </w:p>
    <w:p>
      <w:r>
        <w:rPr>
          <w:b/>
        </w:rPr>
        <w:t>E. 4.2.1</w:t>
      </w:r>
    </w:p>
    <w:p>
      <w:r>
        <w:t>Zunächst rügt der Beschwerdeführer, die Vorinstanz habe die Beweise offensichtlich unrichtig gewürdigt. Gemäss der vorinstanzlichen Auswertung der Passdaten habe er insgesamt mehr Zeit in der Schweiz als in Thailand verbracht. Es sei willkürlich, nur die Jahre 2012 und 2013 zu berücksichtigen, in welchen die Verweildauer in Thailand ausnahmsweise überwiege. Dem kann nicht gefolgt werden. Zum einen hat das kantonale Gericht die Jahre 2012 und 2013 nicht isoliert betrachtet, sondern den gesamten Zeitraum von 2008 bis 2014 in seine Beurteilung einbezogen, wobei es einen kontinuierlichen Anstieg der Verweildauer in Thailand festgestellt hat. Zum anderen ist nicht erkennbar, inwiefern der Durchschnittswert mehrerer Jahre für die Frage massgebend sein soll, ob im Zeitpunkt der Aufhebung des Anspruchs auf eine Hilflosenentschädigung der gewöhnliche Aufenthalt in der Schweiz gegeben war. Vielmehr ist dies mit der Vorinstanz anhand des tatsächlichen Aufenthalts im Jahr 2013 - nach verbindlicher Feststellung des kantonalen Gerichts hat der Beschwerdeführer ca. zwei Drittel dieses Jahres in Thailand verbracht - sowie des Schwerpunkts der Beziehungen zu beurteilen (E. 3 Abs. 2 hievor).</w:t>
      </w:r>
    </w:p>
    <w:p>
      <w:r>
        <w:rPr>
          <w:b/>
        </w:rPr>
        <w:t>E. 4.2.2</w:t>
      </w:r>
    </w:p>
    <w:p>
      <w:r>
        <w:t>Weiter macht der Beschwerdeführer geltend, dass die Verweildauer in Thailand 2012 und 2013 überwogen habe, sei mit den - von der Vorinstanz nicht berücksichtigten - tetraplegiespezifischen Umständen bzw. mit seinem insgesamt schlechten Gesundheitszustand (u.a. wiederkehrende Gelenkschmerzen) zu erklären. Aufgrund der täglichen Pflegebedürftigkeit und weil seine Freundin bzw. nachmalige Ehefrau ihn nicht in die Schweiz habe begleiten können, sei er "faktisch gezwungen" gewesen, sich 2012 und 2013 länger in Thailand als in der Schweiz aufzuhalten.</w:t>
      </w:r>
    </w:p>
    <w:p>
      <w:r>
        <w:t>Dem kantonalen Gericht sind die Pflegebedürftigkeit und die gesundheitlichen Probleme nicht entgangen. Es hat hierzu erwogen, diese stellten keinen Ausnahmegrund im Sinne der Rechtsprechung für einen längerfristigen (recte: kurzfristigen; vgl. E. 3 hievor) Auslandaufenthalt dar. Vielmehr wiesen die regelmässigen, stetig länger dauernden Thailandreisen auf eine Verschiebung des Schwerpunkts der Lebensverhältnisse nach Thailand hin. Dies ist nicht zu beanstanden: Dass sich der Beschwerdeführer 2012 und 2013 mehrheitlich in Thailand aufhielt, lässt sich nicht mit der in Folge der Tetraplegie notwendigen Pflege begründen, ist diese unbestrittenermassen auch in der Schweiz sichergestellt. Von einem faktischen Zwang, sich in Thailand aufzuhalten, kann daher nicht gesprochen werden. Ferner verbrachte der Beschwerdeführer - bei einem Thailandaufenthalt von 224 bzw. 215 Tagen in den Kalenderjahren 2012/2013 - mehr als bloss "den Winter" in Thailand. Nota bene hielt er sich gemäss eigenen Angaben im Jahr 2012 auch im Frühling und sogar praktisch den ganzen Sommer über in Thailand auf (Aktennotiz vom 14. Mai 2013). Daher lässt sich die Dauer der Aufenthalte in Thailand - anders, als im Urteil H 71/89 vom 14. Mai 1990 (ZAK 1992 S. 37), wobei in jenem Fall die Aufenthaltsdauer in der Schweiz überwog - nicht (allein) mit den gesundheitlichen Beschwerden (Gelenkschmerzen) bzw. den klimatischen Verhältnissen erklären. Vielmehr untermauert der Umstand, dass der Beschwerdeführer mehr Zeit in Thailand - mit seiner Freundin und späteren Ehefrau - als in der Schweiz verbrachte, die Erwägung der Vorinstanz, diese Beziehung sei von höherer Bedeutung als die Kontakte zu den Bezugspersonen in der Schweiz. Mithin vermag der Beschwerdeführer nichts vorzubringen, was den Schluss der Vorinstanz, der Schwerpunkt der Lebensverhältnisse habe sich - unter Berücksichtigung der ehelichen Gemeinschaft, der getroffenen Vorkehrungen (Miete eines Hauses) sowie der regelmässigen und langen Aufenthalte - im massgebenden Zeitraum in Thailand befunden, als offensichtlich unrichtig bzw. willkürlich (zum Begriff der Willkür: BGE 140 III 16 E. 2.1 S. 18 f. mit Hinweisen) erscheinen liesse. Nicht zielführend ist der Einwand, er wolle sich mit seiner thailändischen Ehefrau dauerhaft in der Schweiz niederlassen, weshalb er eine - mittlerweile bewilligte - Aufenthaltsbewilligung für seine Frau beantragt habe. Diese Umstände beschlagen nicht mehr den hier massgebenden, bis zum Zeitpunkt des Erlasses der angefochtenen Verfügung vom 11. Februar 2014 eingetretenen Sachverhalt ( BGE 132 V 215 E. 3.1.1 S. 220 mit Hinweisen) und wären daher allenfalls im Rahmen einer Neuanmeldung geltend zu machen.</w:t>
      </w:r>
    </w:p>
    <w:p>
      <w:r>
        <w:rPr>
          <w:b/>
        </w:rPr>
        <w:t>E. 4.3</w:t>
      </w:r>
    </w:p>
    <w:p>
      <w:r>
        <w:t>Sodann beruft sich der Beschwerdeführer auf den Vertrauensgrundsatz mit der Begründung, er habe sich bei der SUVA erkundigt, ob er Leistungen, insbesondere die Hilflosenentschädigung, "verliere", wenn er ins Ausland ginge. Die SUVA habe dies verneint, womit er in guten Treuen habe annehmen dürfen, dies gelte auch für die Hilflosenentschädigung der Invalidenversicherung.</w:t>
      </w:r>
    </w:p>
    <w:p>
      <w:r>
        <w:t>Das in Art. 9 BV verankerte Recht auf Vertrauensschutz bewirkt unter anderem, dass eine (selbst unrichtige) Zusicherung einer Behörde unter bestimmten Umständen eine vom materiellen Recht abweichende Behandlung des Rechtsuchenden gebietet. Nach der Rechtsprechung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welche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131 V 472 E. 5 S. 480; Urteil 8C_332/2011 vom 11. Oktober 2011 E. 5.2, in: SVR 2012 AlV Nr. 3 S. 5).</w:t>
      </w:r>
    </w:p>
    <w:p>
      <w:r>
        <w:t>Der Beschwerdeführer unterlässt es, im Einzelnen darzulegen, dass und inwiefern sämtliche dieser Voraussetzungen in seinem Fall erfüllt seien, womit fraglich ist, ob diese Rüge den Anforderungen von Art. 42 Abs. 2 bzw. Art. 106 Abs. 2 BGG genügt. So oder anders ist ein Vertrauensschutz zu verneinen: Der Beschwerdeführer hat sich im Rahmen eines Telefonats mit einem Sachbearbeiter der SUVA, welches die Höhe des von der SUVA ausgerichteten Pflegebeitrags zum Inhalt hatte, erkundigt, wie es sich mit dem Anspruch auf die Hilflosenentschädigung verhalte, wenn er "ins Ausland ginge" (Aktennotiz vom 13. August 2010). Hierauf wurde ihm mitgeteilt, die Hilflosenentschädigung werde auch "im Ausland" ausgerichtet. Allenfalls würden die Pflegekosten den örtlichen Tarifen angepasst (E-Mail vom 13. August 2010 ). Damit liegt - bereits mit Blick auf den Kontext, in welchem die Auskunft erfolgte, sowie mangels Bezugnahme zu Leistungen anderer Sozialversicherungszweige - eine Zusicherung einzig bezogen auf die "Hilflosenentschädigung" (recte: Hilflosenrente) der Unfallversicherung vor. Mit anderen Worten erfolgte keine (unrichtige) Auskunft hinsichtlich der Hilflosenentschädigung der Invalidenversicherung; hierfür wäre die SUVA auch gar nicht zuständig. Soweit das Vorbringen des Beschwerdeführers dahin gehend zu interpretieren ist, dass er sich auf das Unterlassen einer behördlichen Auskunft beruft, kann er daraus ebenfalls nichts zu seinen Gunsten ableiten. Weder hat der Beschwerdeführer bei seiner Anfrage Leistungen der Invalidenversicherung erwähnt noch war für den Sachbearbeiter der SUVA unter den konkreten Umständen erkennbar, dass die Frage sich (auch) auf solche beziehen könnte. Damit bestand weder eine gesetzliche noch anderweitige Pflicht, den Beschwerdeführer darauf aufmerksam zu machen, dass er sich hinsichtlich der Anspruchsvoraussetzungen von Leistungen der Invalidenversicherung bei der IV-Stelle informieren müsse.</w:t>
      </w:r>
    </w:p>
    <w:p>
      <w:r>
        <w:rPr>
          <w:b/>
        </w:rPr>
        <w:t>E. 4.4</w:t>
      </w:r>
    </w:p>
    <w:p>
      <w:r>
        <w:t>Schliesslich wirft der Beschwerdeführer der Vorinstanz eine Verletzung des Diskriminierungsverbots ( Art. 8 Abs. 2 BV ) vor. Indes genügen seine diesbezüglichen Ausführungen den Anforderungen der qualifizierten Rügepflicht (E. 2 Abs. 2 hievor) offensichtlich nicht, weshalb auf diesen Punkt nicht einzugehen ist.</w:t>
      </w:r>
    </w:p>
    <w:p>
      <w:r>
        <w:rPr>
          <w:b/>
        </w:rPr>
        <w:t>E. 5</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