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728/2010 vom 19. Mai 2011</w:t>
      </w:r>
    </w:p>
    <w:p>
      <w:r>
        <w:t>Bundesgericht, 2011-05-19, FR</w:t>
      </w:r>
    </w:p>
    <w:p>
      <w:r>
        <w:rPr>
          <w:b/>
        </w:rPr>
        <w:t xml:space="preserve">Quelle: </w:t>
      </w:r>
      <w:r>
        <w:t>https://mcp.opencaselaw.ch/entscheid/bger_9C_728_2010</w:t>
      </w:r>
    </w:p>
    <w:p>
      <w:r>
        <w:t>FR: TF 9C 728/2010 du 19 mai 2011</w:t>
      </w:r>
    </w:p>
    <w:p>
      <w:r>
        <w:t>IT: TF 9C 728/2010 del 19 maggio 2011</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La juridiction cantonale a estimé justifié de s'écarter des strictes conclusions du rapport d'expertise du docteur K.________, en tant que celui-ci retenait une diminution de rendement de 50 % dans l'exercice à 50 % d'une activité adaptée. L'appréciation différenciée de l'office AI, qui retenait une diminution de rendement de 20 %, était non seulement légitime, mais encore généreuse à l'égard du recourant. Bien que n'étant pas véritablement motivée, cette appréciation pouvait tout à fait se concevoir si l'on tenait compte de la présence au dossier de certains éléments étrangers à l'invalidité qui, sans engager la responsabilité de l'assurance, pouvaient tout de même contribuer à limiter le rendement du recourant. Ainsi, l'appréciation plutôt positive qu'il avait de son passé de travailleur ne semblait pas correspondre à la réalité; dans ces conditions, son licenciement, qui l'avait touché dans sa fierté, avait été très mal vécu et avait pu jouer un rôle causal dans la manifestation de ses troubles psychiques. Par ailleurs, il avait exprimé peu de motivation à reprendre un travail ou à suivre un traitement médical, que cela soit pour son genou ou ses problèmes psychiques. Pour finir, il ne fallait pas ignorer le contexte de désintégration sociale dans lequel il se trouvait et qui ne laissait guère d'espoir pour une amélioration (mode de vie volontairement solitaire; connaissances linguistiques limitées); rien n'indiquait que ce contexte avait été causé par les troubles psychiques dont il était atteint, ce d'autant moins qu'ils n'avaient commencé à se manifester qu'en 2004 alors qu'il résidait en Suisse depuis 1993.</w:t>
      </w:r>
    </w:p>
    <w:p>
      <w:r>
        <w:rPr>
          <w:b/>
        </w:rPr>
        <w:t>E. 2.2</w:t>
      </w:r>
    </w:p>
    <w:p>
      <w:r>
        <w:t>Le recourant reproche à la juridiction cantonale d'avoir procédé à une constatation manifestement inexacte des faits pertinents consécutive à une mauvaise appréciation des preuves. En effet, les premiers juges se seraient écartés, sans raison valable, des conclusions convaincantes et dûment motivées de l'expertise réalisée par le docteur K.________ relatives à la baisse de rendement qu'il subissait, en faveur de celles contenues dans la prise de position médicale, maigre et peu étayée, du SMR. En réalité, le rapport du docteur K.________ satisfaisait aux réquisits jurisprudentiels relatifs à la valeur probante d'un tel document et le dossier ne contenait aucun élément susceptible d'en remettre en cause le bien-fondé.</w:t>
      </w:r>
    </w:p>
    <w:p>
      <w:r>
        <w:rPr>
          <w:b/>
        </w:rPr>
        <w:t>E. 3</w:t>
      </w:r>
    </w:p>
    <w:p>
      <w:r>
        <w:t>Il y a lieu de donner raison au recourant. On ne voit pas en quoi les développements de la juridiction cantonale, avancés dans le but de démontrer que la baisse de rendement retenue par le docteur K.________ était attribuable à des facteurs étrangers à l'invalidité, étaient de nature à modifier les conclusions de ce médecin. Rien n'indique en effet que les éléments mis en évidence par la juridiction cantonale auraient été pris à tort en considération par l'expert dans le cadre de son appréciation globale de la capacité de travail. Ce médecin a clairement indiqué que le recourant ne pouvait pas, pour des raisons psychiques, assumer à plein temps une activité adaptée sur le plan physique. La situation était déterminée par plusieurs facteurs, dont au premier plan les atteintes physiques (genou, dos, main). Au deuxième plan intervenait un état de stress post-traumatique chronique, qui impliquait une symptomatologie anxio-dépressive nette, avec troubles du sommeil, fatigabilité et état de fatigue persistant, perte d'élan vital et absence de perspective. Sur un troisième plan enfin, il y avait lieu de citer les ressources faibles du recourant sur le plan intellectuel, ressources qui ne lui permettaient pas de compenser les atteintes somatiques et psychiques. Sur le plan strictement médical, ni l'office AI, par l'intermédiaire du SMR, ni la juridiction cantonale n'ont mis en évidence des éléments objectifs et concrets susceptibles de jeter le doute sur le bien-fondé des conclusions de l'expertise. En s'écartant sans raison objective des conclusions de l'expertise établie par le docteur K.________, les premiers juges ont procédé à une appréciation manifestement insoutenable des moyens de preuve en présence.</w:t>
      </w:r>
    </w:p>
    <w:p>
      <w:r>
        <w:rPr>
          <w:b/>
        </w:rPr>
        <w:t>E. 4</w:t>
      </w:r>
    </w:p>
    <w:p>
      <w:r>
        <w:t>Le recours doit ainsi être admis. Vu l'issue du litige, les frais et les dépens de la procédure doivent être mis à la charge de l'intimé (art. 66 al. 1 et 68 al. 1 LTF; ATF 123 V 159 ).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