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9C_726/2019 vom 6. November 2019</w:t>
      </w:r>
    </w:p>
    <w:p>
      <w:r>
        <w:t>Bundesgericht, 2019-11-06, DE</w:t>
      </w:r>
    </w:p>
    <w:p>
      <w:r>
        <w:rPr>
          <w:b/>
        </w:rPr>
        <w:t xml:space="preserve">Quelle: </w:t>
      </w:r>
      <w:r>
        <w:t>https://mcp.opencaselaw.ch/entscheid/bger_9C_726_2019</w:t>
      </w:r>
    </w:p>
    <w:p>
      <w:r>
        <w:t>FR: TF 9C_726/2019 du 6 novembre 2019</w:t>
      </w:r>
    </w:p>
    <w:p>
      <w:r>
        <w:t>IT: TF 9C_726/2019 del 6 novembre 2019</w:t>
      </w:r>
    </w:p>
    <w:p>
      <w:pPr>
        <w:pStyle w:val="Heading2"/>
      </w:pPr>
      <w:r>
        <w:t>Volltext</w:t>
      </w:r>
    </w:p>
    <w:p>
      <w:r>
        <w:t>Bundesgericht</w:t>
      </w:r>
    </w:p>
    <w:p>
      <w:r>
        <w:t>Tribunal fédéral</w:t>
      </w:r>
    </w:p>
    <w:p>
      <w:r>
        <w:t>Tribunale federale</w:t>
      </w:r>
    </w:p>
    <w:p>
      <w:r>
        <w:t>Tribunal federal</w:t>
      </w:r>
    </w:p>
    <w:p>
      <w:r>
        <w:t>9C_726/2019</w:t>
      </w:r>
    </w:p>
    <w:p>
      <w:r>
        <w:t>Urteil vom 6. November 2019</w:t>
      </w:r>
    </w:p>
    <w:p>
      <w:r>
        <w:t>II. sozialrechtliche Abteilung</w:t>
      </w:r>
    </w:p>
    <w:p>
      <w:r>
        <w:t>Besetzung</w:t>
      </w:r>
    </w:p>
    <w:p>
      <w:r>
        <w:t>Bundesrichterin Pfiffner, Präsidentin,</w:t>
      </w:r>
    </w:p>
    <w:p>
      <w:r>
        <w:t>Gerichtsschreiberin Dormann.</w:t>
      </w:r>
    </w:p>
    <w:p>
      <w:r>
        <w:t>Verfahrensbeteiligte</w:t>
      </w:r>
    </w:p>
    <w:p>
      <w:r>
        <w:t>A.________ GmbH,</w:t>
      </w:r>
    </w:p>
    <w:p>
      <w:r>
        <w:t>Beschwerdeführerin,</w:t>
      </w:r>
    </w:p>
    <w:p>
      <w:r>
        <w:t>gegen</w:t>
      </w:r>
    </w:p>
    <w:p>
      <w:r>
        <w:t>Stiftung Auffangeinrichtung BVG, Recht &amp; Compliance, Elias-Canetti-Strasse 2, 8050 Zürich,</w:t>
      </w:r>
    </w:p>
    <w:p>
      <w:r>
        <w:t>Beschwerdegegnerin.</w:t>
      </w:r>
    </w:p>
    <w:p>
      <w:r>
        <w:t>Gegenstand</w:t>
      </w:r>
    </w:p>
    <w:p>
      <w:r>
        <w:t>Berufliche Vorsorge,</w:t>
      </w:r>
    </w:p>
    <w:p>
      <w:r>
        <w:t>Beschwerde gegen den Entscheid des Bundesverwaltungsgerichts vom 26. September 2019</w:t>
      </w:r>
    </w:p>
    <w:p>
      <w:r>
        <w:t>(A-4839/2019).</w:t>
      </w:r>
    </w:p>
    <w:p>
      <w:r>
        <w:t>Nach Einsicht</w:t>
      </w:r>
    </w:p>
    <w:p>
      <w:r>
        <w:t>in die Beschwerde vom 28. Oktober 2019 (Poststempel) gegen den Nichteintretensentscheid des Bundesverwaltungsgerichts vom 26. September 2019,</w:t>
      </w:r>
    </w:p>
    <w:p>
      <w:r>
        <w:t>in Erwägung,</w:t>
      </w:r>
    </w:p>
    <w:p>
      <w:r>
        <w:t>dass B.________ die Beschwerde "in Vertretung" der Beschwerdeführerin unterzeichnet hat, ohne im Handelsregister als deren Zeichnungsberechtigter eingetragen zu sein oder eine Vollmacht einzureichen,</w:t>
      </w:r>
    </w:p>
    <w:p>
      <w:r>
        <w:t>dass es sich angesichts des Ausgangs des Verfahrens erübrigt, im Sinne von Art. 42 Abs. 5 BGG eine Frist zur Behebung dieses Mangels anzusetzen,</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und bei einem Nichteintretensentscheid dargelegt werden muss, weshalb die Vorinstanz auf die Beschwerde hätte eintreten sollen (vgl. BGE 123 V 335 ; 118 Ib 134 ; ARV 2002 Nr. 7 S. 61 E. 2),</w:t>
      </w:r>
    </w:p>
    <w:p>
      <w:r>
        <w:t>dass die Beschwerde - samt Begründung - innert 30 Tagen nach der Eröffnung des angefochtenen Entscheids einzureichen ist (Art. 100 Abs. 1 i.V.m. Art. 47 Abs. 1 BGG ), und in concreto diese Frist am 28. Oktober 2019 abgelaufen ist (vgl. Art. 44 Abs. 1 und Art. 45 Abs. 1 BGG ),</w:t>
      </w:r>
    </w:p>
    <w:p>
      <w:r>
        <w:t>dass die Eingabe vom 28. Oktober 2019 zwar einen Beschwerdewillen erkennen lässt, aber weder ein Rechtsbegehren noch eine Begründung enthält, sondern nur die Frage, "an wenn" die Begründung erfolgen müsse,</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6. November 2019</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