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726/2016 vom 17. August 2017</w:t>
      </w:r>
    </w:p>
    <w:p>
      <w:r>
        <w:t>Bundesgericht, 2017-08-17, DE</w:t>
      </w:r>
    </w:p>
    <w:p>
      <w:r>
        <w:rPr>
          <w:b/>
        </w:rPr>
        <w:t xml:space="preserve">Quelle: </w:t>
      </w:r>
      <w:r>
        <w:t>https://mcp.opencaselaw.ch/entscheid/bger_9C_726_2016</w:t>
      </w:r>
    </w:p>
    <w:p>
      <w:r>
        <w:t>FR: TF 9C 726/2016 du 17 août 2017</w:t>
      </w:r>
    </w:p>
    <w:p>
      <w:r>
        <w:t>IT: TF 9C 726/2016 del 17 agosto 2017</w:t>
      </w:r>
    </w:p>
    <w:p>
      <w:pPr>
        <w:pStyle w:val="Heading2"/>
      </w:pPr>
      <w:r>
        <w:t>Regeste</w:t>
      </w:r>
    </w:p>
    <w:p>
      <w:r>
        <w:t>Alters- und Hinterlassenenversicherung (vorinstanzliches Verfahren) | Alters- und Hinterlassenenversicherung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Der Beschwerdeführer rügt eine Verletzung von Art. 29 Abs. 2 BV und 6 Ziff. 1 EMRK durch das Bundesverwaltungsgericht, indem dieses sein Replikrecht verletzt habe.</w:t>
      </w:r>
    </w:p>
    <w:p>
      <w:r>
        <w:rPr>
          <w:b/>
        </w:rPr>
        <w:t>E. 2.1</w:t>
      </w:r>
    </w:p>
    <w:p>
      <w:r>
        <w:t>Gemäss Art. 29 Abs. 1 und 2 BV und Art. 6 EMRK haben die Parteien eines Gerichtsverfahrens einen unbedingten Anspruch darauf, zu sämtlichen Eingaben der Gegenpartei Stellung zu nehmen, falls sie dies wünschen (sog. unbedingtes Replikrecht: BGE 139 I 189 E. 3.2 S. 191 f. ; 138 I 154 E. 2.3.3 S. 157 und 484 E. 2.1 S. 485 ; 137 I 195 E. 2.3.1 S. 197 ; 133 I 100 E. 4.3-4.7 S. 102 ff.). Die Parteien haben somit einen verfassungsmässigen Anspruch darauf, sich zu jeder Eingabe im Verfahren zu äussern, unabhängig davon, ob sie neue oder wesentliche Vorbringen enthält. Das Gericht muss vor Erlass seines Urteils eingegangene Vernehmlassungen den Beteiligten zustellen, damit diese sich darüber schlüssig werden können, ob sie sich dazu äussern wollen oder nicht ( BGE 137 I 195 E. 2.3.1 S. 197). Das Gericht verletzt den 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S. 105 ; 132 I 42 E. 3.3.2 S. 46; Urteil 2C_688/2007 vom 11. Februar 2008 E. 2.2).</w:t>
      </w:r>
    </w:p>
    <w:p>
      <w:r>
        <w:rPr>
          <w:b/>
        </w:rPr>
        <w:t>E. 2.2</w:t>
      </w:r>
    </w:p>
    <w:p>
      <w:r>
        <w:t>Die Vorinstanz stellte mit Zwischenverfügung vom 18. März 2016 die Schlussbemerkungen der Verwaltung dem Beschwerdeführer "zur Kenntnis" zu. Gleichzeitig wurde festgehalten, der Schriftenwechsel bleibe geschlossen, und der Instruktionsrichter behalte sich ausdrücklich vor, weitere unaufgeforderte Eingaben aus dem Recht zu weisen. Schliesslich wurde der Beschwerdeführer "vorsorglich" auf Art. 60 Abs. 1 VwVG aufmerksam gemacht, wonach eine Störung des Geschäftsgangs mit einem Verweis oder einer Ordnungsbusse bis zu 500 Franken bestraft werden könne. Eine vom Beschwerdeführer hierauf eingereichte Stellungnahme samt Beilagen vom 22. März 2016 (Postaufgabe) wies der Instruktionsrichter am 30. März 2016 aus dem Recht. Mit der Zustellung der Schlussbemerkungen verbunden mit dem Hinweis, der Schriftenwechsel bleibe geschlossen bzw. unaufgeforderte Eingaben könnten aus dem Recht gewiesen werden, sowie der Androhung, eine Störung des Geschäftsgangs könne sanktioniert werden, wurde das Replikrecht des Beschwerdeführers - die Vorinstanz gab unzweideutig zu erkennen, eine Äusserung von Seiten des Beschwerdeführers sei nicht mehr erwünscht - verletzt (E. 2.1 i.f. hievor). Zwar liess sich der Beschwerdeführer mit Eingabe vom 22. März 2016 trotzdem zu den Schlussbemerkungen der Verwaltung vernehmen. Diese Eingabe wurde vom Instruktionsrichter in der Folge jedoch aus dem Recht gewiesen. Folglich ist die Rüge der Gehörsverletzung begründet.</w:t>
      </w:r>
    </w:p>
    <w:p>
      <w:r>
        <w:rPr>
          <w:b/>
        </w:rPr>
        <w:t>E. 2.3</w:t>
      </w:r>
    </w:p>
    <w:p>
      <w:r>
        <w:t>Da die Rüge einer Verletzung des Anspruchs auf rechtliches Gehör formeller Natur ist, führt das - wobei auf einen Schriftenwechsel verzichtet wird (vgl. Urteil 9C_440/2017 vom 19. Juli 2017 E. 10 mit weiteren Hinweisen) - zur Aufhebung des angefochtenen Entscheids und zur Rückweisung der Sache an das Bundesverwaltungsgericht, ohne dass die Angelegenheit vom Bundesgericht materiell geprüft wird (vgl. BGE 126 V 130 E. 2b. S. 132; 124 V 90 E. 2 S. 92). Die Vorinstanz hat unter genügender Berücksichtigung der Eingabe des Beschwerdeführers vom 22. März 2016 neu zu entscheiden.</w:t>
      </w:r>
    </w:p>
    <w:p>
      <w:r>
        <w:rPr>
          <w:b/>
        </w:rPr>
        <w:t>E. 3</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