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9C_724/2022 vom 29. März 2023</w:t>
      </w:r>
    </w:p>
    <w:p>
      <w:r>
        <w:t>Bundesgericht, 2023-03-29, DE</w:t>
      </w:r>
    </w:p>
    <w:p>
      <w:r>
        <w:rPr>
          <w:b/>
        </w:rPr>
        <w:t xml:space="preserve">Quelle: </w:t>
      </w:r>
      <w:r>
        <w:t>https://mcp.opencaselaw.ch/entscheid/bger_9C_724_2022</w:t>
      </w:r>
    </w:p>
    <w:p>
      <w:r>
        <w:t>FR: TF 9C_724/2022 du 29 mars 2023</w:t>
      </w:r>
    </w:p>
    <w:p>
      <w:r>
        <w:t>IT: TF 9C_724/2022 del 29 marzo 2023</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89 Abs. 1 sowie Abs. 2 lit. d BGG in Verbindung mit Art. 73 Abs. 2 des Bundesgesetzes vom 14. Dezember 1990 über die Harmonisierung der direkten Steuern der Kantone und Gemeinden (StHG; SR 642.14) zur Beschwerde legitimiert.</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Letztere beide Steuerarten betrifft ( BGE 135 II 260 E. 1.3.2; Urteil 2C_839/2021 vom 27. Januar 2022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Direkte Bundessteuer</w:t>
      </w:r>
    </w:p>
    <w:p>
      <w:r>
        <w:rPr>
          <w:b/>
        </w:rPr>
        <w:t>E. 3</w:t>
      </w:r>
    </w:p>
    <w:p>
      <w:r>
        <w:t>Die Vorinstanz hat den Abzug von werterhaltenden Aufwendungen und von Kosten für Energiesparmassnahmen für die Steuerjahre 2014, 2015 und 2016 vollständig verweigert. Sie war der Ansicht, dass die Beschwerdeführer die Alphütte einem "wirtschaftlichen Neubau" unterzogen hätten, weswegen die Aufwendungen integral als wertvermehrend zu charakterisieren seien und der Abzug bei der Einkommenssteuer gesamthaft zu verweigern sei.</w:t>
      </w:r>
    </w:p>
    <w:p>
      <w:r>
        <w:t>Die Beschwerdeführer machen geltend, dass es gegen Art. 32 Abs. 2 des Bundesgesetzes vom 14. Dezember 1990 über die direkte Bundessteuer (DBG; SR 642.11) verstosse, wenn ihnen für die streitbetroffene Abzug der Abzug von Unterhaltskosten und Kosten für Energiesparmassnahmen verweigert werde, obschon sie die angefallenen Aufwendungen in werterhaltende, wertvermehrende sowie Aufwendungen für Energiesparmassnahmen aufgeschlüsselt hätten.</w:t>
      </w:r>
    </w:p>
    <w:p>
      <w:r>
        <w:rPr>
          <w:b/>
        </w:rPr>
        <w:t>E. 4</w:t>
      </w:r>
    </w:p>
    <w:p>
      <w:r>
        <w:t>Die Vorinstanz stützte sich in ihrer Begründung auf mehrere, unpublizierte Urteile des Bundesgerichts (vgl. etwa Urteil 2C_153/2014 vom 9. September 2014 E. 2.2 f., in: StE 2014 B 25.6 Nr. 63; StR 70/2015 S. 157). Die in diesem Urteil vertretene Auffassung hat das Bundesgericht kürzlich in einem Leiturteil aufgegeben. Es hielt dafür, dass eine "wirtschaftliche" Gesamtbetrachtung eines Totalsanierungs-,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weder mit dem Wortlaut noch mit der Entstehungsgeschichte von Art. 32 Abs. 2 DBG vereinbar ist (Urteil 9C_677/2021 vom 23. Februar 2023 E. 4.5, zur Publikation vorgesehen). Nach dem Willen des Gesetzgebers ist für alle Arbeiten an einer neu erworbenen Liegenschaft - wie bei allen anderen Liegenschaftskosten - individuell aufgrund ihres objektiv-technischen Charakters - und unter Mitwirkung der steuerpflichtigen Person ( Art. 126 Abs. 1 und 2 DBG ) - abzuklären, ob sie dazu dienen, einen früheren Zustand der Liegenschaft wiederherzustellen, mithin werterhaltend wirken. Kann dies nicht festgestellt werden, ist im Bereich der Einkommenssteuer gemäss der Normentheorie ( Art. 8 ZGB analog) zulasten der steuerpflichtigen Person davon auszugehen, dass die Kosten nicht der Instandstellung dienen und folglich nicht abgezogen werden können (Urteil 9C_677/2021 vom 23. Februar 2023 E. 4.5, zur Publikation vorgesehen, mit Hinweis auf KOCHER/ANZANTE, Von "Dumont" zum wirtschaftlichen Neubau, StR 75/2020 S. 710, S. 723).</w:t>
      </w:r>
    </w:p>
    <w:p>
      <w:r>
        <w:rPr>
          <w:b/>
        </w:rPr>
        <w:t>E. 5</w:t>
      </w:r>
    </w:p>
    <w:p>
      <w:r>
        <w:t>Das Vorbringen der Beschwerdeführer erweist sich vor dem Hintergrund dieser Praxisänderung als begründet (vgl. zur Anwendbarkeit von Praxisänderungen auf alle hängigen Fälle BGE 142 V 551 E. 4.1; 132 II 153 E. 5.1 ; 122 I 57 E. 3c/bb). Die Beschwerdeführer haben im kantonalen Verfahren detailliert aufgezeigt, welche Aufwendungen ihrer Ansicht nach werterhaltenden Charakter hätten oder Energiesparmassnahmen dienten. Die Vorinstanz hat die vorgenommenen Arbeiten zwar analysiert, sie aber letztlich doch nur im Rahmen einer Gesamtbetrachtung gewürdigt, um daraus den Schluss zu ziehen, es liege ein wirtschaftlicher Neubau vor, weswegen der Abzug vollständig zu verweigern sei (vgl. angefochtenes Urteil E. 3.5.1-3.5.7). Aufgrund dieser im Lichte von E. 4 nunmehr rechtsfehlerhaften Auffassung hat sie die Darstellung der Beschwerdeführer hinsichtlich des objektiv-technischen Charakters der individuellen Arbeiten nicht geprüft. Da es nicht am Bundesgericht ist, die Sachverhaltsdarstellung und Beweismittel der Beschwerdeführer wie eine erste Gerichtsinstanz zu würdigen, ist das angefochtene Urteil aufzuheben und die Sache zu Sachverhaltsergänzung und Neubeurteilung an die Vorinstanz zurückzuweisen ( Art. 107 Abs. 2 BGG ).</w:t>
      </w:r>
    </w:p>
    <w:p>
      <w:r>
        <w:t>III. Staatssteuer</w:t>
      </w:r>
    </w:p>
    <w:p>
      <w:r>
        <w:rPr>
          <w:b/>
        </w:rPr>
        <w:t>E. 6</w:t>
      </w:r>
    </w:p>
    <w:p>
      <w:r>
        <w:t>Die kantonale Regelung über den Abzug von Unterhalts- und insbesondere Instandstellungskosten für neu erworbene Liegenschaften sowie von Kosten für Energiesparmassnahmen entspricht der Regelung auf Bundesebene und ist im Übrigen durch das Harmonisierungsrecht vorgegeben (vgl. § 39 Abs. 3 des Gesetzes des Kantons Solothurn vom 1. Dezember 1985 über die Staats- und Gemeindesteuern [StG/SO; BGS 614.11] und Art. 32 Abs. 2 DBG sowie Art. 9 Abs. 3 StHG ). Es kann daher auf die vorstehenden Erwägungen zur direkten Bundessteuer verwiesen werden. Auch betreffend die Staatssteuer ist die Sache folglich zur Sachverhaltsergänzung und Neubeurteilung (betr. satzbestimmendes Einkommen) an die Vorinstanz zurückzuweisen.</w:t>
      </w:r>
    </w:p>
    <w:p>
      <w:r>
        <w:t>IV. Verfahrensausgang und Kosten</w:t>
      </w:r>
    </w:p>
    <w:p>
      <w:r>
        <w:rPr>
          <w:b/>
        </w:rPr>
        <w:t>E. 7</w:t>
      </w:r>
    </w:p>
    <w:p>
      <w:r>
        <w:t>Die Beschwerde erweist sich sowohl betreffend die direkte Bundessteuer als auch betreffend die Staats- und Gemeindesteuern als begründet. Das angefochtene Urteil ist aufzuheben und die Sache ist an die Vorinstanz zur Sachverhaltsergänzung und Neubeurteilung zurückzuweisen. Die Gerichtskosten sind dem Kanton Solothurn aufzuerlegen, da er Vermögensinteressen verfolgt ( Art. 66 Abs. 1 und 4 BGG ). Die Beschwerdeführer haben sich vor Bundesgericht selbst vertreten. Ihnen steht demnach keine Parteientschädigung zu, zumal keine besonderen Verhältnisse ersichtlich sind (vgl. Art. 11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