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9C_724/2014 vom 11. November 2014</w:t>
      </w:r>
    </w:p>
    <w:p>
      <w:r>
        <w:t>Bundesgericht, 2014-11-11, DE</w:t>
      </w:r>
    </w:p>
    <w:p>
      <w:r>
        <w:rPr>
          <w:b/>
        </w:rPr>
        <w:t xml:space="preserve">Quelle: </w:t>
      </w:r>
      <w:r>
        <w:t>https://mcp.opencaselaw.ch/entscheid/bger_9C_724_2014</w:t>
      </w:r>
    </w:p>
    <w:p>
      <w:r>
        <w:t>FR: TF 9C_724/2014 du 11 novembre 2014</w:t>
      </w:r>
    </w:p>
    <w:p>
      <w:r>
        <w:t>IT: TF 9C_724/2014 del 11 novembre 2014</w:t>
      </w:r>
    </w:p>
    <w:p>
      <w:pPr>
        <w:pStyle w:val="Heading2"/>
      </w:pPr>
      <w:r>
        <w:t>Volltext</w:t>
      </w:r>
    </w:p>
    <w:p>
      <w:r>
        <w:t>Bundesgericht</w:t>
      </w:r>
    </w:p>
    <w:p>
      <w:r>
        <w:t>Tribunal fédéral</w:t>
      </w:r>
    </w:p>
    <w:p>
      <w:r>
        <w:t>Tribunale federale</w:t>
      </w:r>
    </w:p>
    <w:p>
      <w:r>
        <w:t>Tribunal federal</w:t>
      </w:r>
    </w:p>
    <w:p>
      <w:r>
        <w:t>9C_724/2014 {T 0/2}</w:t>
      </w:r>
    </w:p>
    <w:p>
      <w:r>
        <w:t>Urteil vom 11. November 2014</w:t>
      </w:r>
    </w:p>
    <w:p>
      <w:r>
        <w:t>II. sozialrechtliche Abteilung</w:t>
      </w:r>
    </w:p>
    <w:p>
      <w:r>
        <w:t>Besetzung</w:t>
      </w:r>
    </w:p>
    <w:p>
      <w:r>
        <w:t>Bundesrichter Meyer, als Einzelrichter,</w:t>
      </w:r>
    </w:p>
    <w:p>
      <w:r>
        <w:t>Gerichtsschreiber R. Widmer.</w:t>
      </w:r>
    </w:p>
    <w:p>
      <w:r>
        <w:t>Verfahrensbeteiligte</w:t>
      </w:r>
    </w:p>
    <w:p>
      <w:r>
        <w:t>A.________,</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Beschluss des Sozialversicherungsgerichts des Kantons Zürich vom 29. September 2014.</w:t>
      </w:r>
    </w:p>
    <w:p>
      <w:r>
        <w:t>Nach Einsicht</w:t>
      </w:r>
    </w:p>
    <w:p>
      <w:r>
        <w:t>in die Beschwerde vom 3. Oktober 2014 (Poststempel) gegen einen Entscheid des Sozialversicherungsgerichts des Kantons Zürich vom 29. September 2014,</w:t>
      </w:r>
    </w:p>
    <w:p>
      <w:r>
        <w:t>in die Verfügung des Bundesgerichts vom 7. Oktober 2014, mit der A.________ auf das Erfordernis, bis am 3. November 2014 den angefochtenen Entscheid beizubringen, die gesetzlichen Formerfordernisse von Beschwerden hinsichtlich Begehren und Begründung sowie auf die nur innert der Rechtsmittelfrist noch bestehende Verbesserungsmöglichkeit hingewiesen worden ist,</w:t>
      </w:r>
    </w:p>
    <w:p>
      <w:r>
        <w:t>in die daraufhin von A.________ am 8. Oktober 2014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inhaltlichen Mindestanforderungen nicht genügen, da sie keinen rechtsgenüglichen Antrag enthalten und den Ausführungen nicht entnommen werden kann, inwiefern die Sachverhaltsfeststellung im Sinne von Art. 97 Abs. 1 BGG - soweit überhaupt beanstandet - unzutreffend (unhaltbar, willkürlich: BGE 137 III 226 E. 4.2 S. 234, 134 IV 36 E. 1.4.1 S. 39) und die darauf beruhenden Erwägungen rechtsfehlerhaft sein sollen,</w:t>
      </w:r>
    </w:p>
    <w:p>
      <w:r>
        <w:t>dass sodann gemäss Art. 42 Abs. 3 BGG u.a. der Entscheid, gegen welchen sich die Beschwerde richtet, beizulegen ist,</w:t>
      </w:r>
    </w:p>
    <w:p>
      <w:r>
        <w:t>dass laut Art. 42 Abs. 5 BGG bei Fehlen der vorgeschriebenen Beilagen eine angemessene Frist zur Behebung des Mangels angesetzt wird mit der Androhung, dass die Rechtsschrift sonst unbeachtet bleibt,</w:t>
      </w:r>
    </w:p>
    <w:p>
      <w:r>
        <w:t>dass der Beschwerdeführer innert der mit Verfügung vom 7. Oktober 2014 angesetzten, am 3. November 2014 abgelaufenen Frist den angefochtenen Entscheid nicht eingereicht hat, weshalb die Beschwerde auch aus diesem Grund offensichtlich unzulässig ist,</w:t>
      </w:r>
    </w:p>
    <w:p>
      <w:r>
        <w:t>dass deshalb im vereinfachten Verfahren nach Art. 108 Abs. 1 lit. a und b und Abs. 2 BGG auf die Beschwerde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November 2014</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