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723/2010 vom 25. November 2010</w:t>
      </w:r>
    </w:p>
    <w:p>
      <w:r>
        <w:t>Bundesgericht, 2010-11-25, DE</w:t>
      </w:r>
    </w:p>
    <w:p>
      <w:r>
        <w:rPr>
          <w:b/>
        </w:rPr>
        <w:t xml:space="preserve">Quelle: </w:t>
      </w:r>
      <w:r>
        <w:t>https://mcp.opencaselaw.ch/entscheid/bger_9C_723_2010</w:t>
      </w:r>
    </w:p>
    <w:p>
      <w:r>
        <w:t>FR: TF 9C 723/2010 du 25 novembre 2010</w:t>
      </w:r>
    </w:p>
    <w:p>
      <w:r>
        <w:t>IT: TF 9C 723/2010 del 25 novembre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das Gutachten der Frau Dr. med. S.________ vom 22. Juli 2009 für beweiskräftig gehalten und gestützt darauf festgestellt, die Versicherte sei in der angestammten - mittlerweile leidensangepassten - sowie in jeder anderen adaptierten Tätigkeit voll arbeitsfähig. Die Beschwerdeführerin stellt den Beweiswert des Gutachtens in Abrede und bestreitet die Verwertbarkeit der Restarbeitsfähigkeit.</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 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Den im Rahmen des Verwaltungsverfahrens durch die Sozialversicherung eingeholten Gutachten ist Beweiskraft zuzuerkennen, solange nicht konkrete Indizien gegen die Zuverlässigkeit der Expertise sprechen ( BGE 125 V 351 E. 3b/bb S. 353).</w:t>
      </w:r>
    </w:p>
    <w:p>
      <w:r>
        <w:rPr>
          <w:b/>
        </w:rPr>
        <w:t>E. 2.3</w:t>
      </w:r>
    </w:p>
    <w:p>
      <w:r>
        <w:t>Die aufgrund medizinischer Untersuchungen gerichtlich festgestellte Arbeits(un)fähigkeit ist Entscheidung über eine Tatfrage ( BGE 132 V 393 E. 3.2 S. 397 ff.), die Beachtung des Untersuchungsgrundsatzes und der Beweiswürdigungsregeln ( Art. 61 lit. c ATSG ; BGE 134 V 231 E. 5.1 S. 232; 125 V 351 E. 3a S. 352 mit Hinweis) Rechtsfrage. Die konkrete Beweiswürdigung betrifft eine Tatfrage (Urteile 8C_763/2008 vom 19. Juni 2009 E. 1, nicht publiziert in: BGE 135 V 306 ; 9C_39/2010 vom 25. März 2010 E. 4.1.2).</w:t>
      </w:r>
    </w:p>
    <w:p>
      <w:r>
        <w:rPr>
          <w:b/>
        </w:rPr>
        <w:t>E. 2.4</w:t>
      </w:r>
    </w:p>
    <w:p>
      <w:r>
        <w:t>Die vorinstanzliche Beweiswürdigung und die darauf beruhenden Feststellungen betreffend die - für den Rentenanspruch massgebende (Art. 8 Abs. 1 in Verbindung mit Art. 7 ATSG ) - Arbeitsfähigkeit in leidensangepassten Tätigkeiten sind nicht offensichtlich unrichtig und stellen auch keine Verletzung von Bundesrecht dar. Das kantonale Gericht hat nachvollziehbar und in bundesrechtskonformer Auffassung vom Beweiswert medizinischer Unterlagen dargelegt, weshalb die Berichte des Dr. med. T.________ vom 15. März, 10. Juli und 21. August 2007, des Centers R.________ vom 8. Juli 2009, des Dr. med. H.________ vom 28. Dezember 2009 sowie des Spitals G.________ vom 7. Mai 2010 den Beweiswert des Gutachtens der Frau Dr. med. S.________ nicht schmälern. Dass in diesem die "angestammte Tätigkeit" als adaptiert bezeichnet wurde, schadet nicht: Es trifft zwar zu, dass nicht mehr alle in der früheren Tätigkeit als Hausangestellte anfallenden Arbeiten zumutbar sind, hingegen sind an die eingeschränkten Rücken- und Schulterfunktionen angepasste Betätigungen, wie sie seit Oktober 2005 bei der bisherigen Arbeitgeberin ausgeführt wurden resp. werden, möglich. Schliesslich hat die Vorinstanz auf die überzeugende Stellungnahme der Frau Dr. med. S.________ vom 18. Oktober 2009 verwiesen, wonach sich ihre Einschätzung der Arbeitsfähigkeit auf ein volles - und nicht das tatsächlich im Umfang von 50 % ausgeübte - Arbeitspensum beziehe. Die Beschwerdeführerin beschränkt sich im Kern lediglich darauf, die medizinischen Unterlagen abweichend zu würdigen und daraus andere Schlüsse als die Vorinstanz zu ziehen, was nicht genügt (Urteile 9C_688/2007 vom 22. Januar 2008 E. 2.3 und 4A_28/2007 vom 30. Mai 2007 E. 1.3 [in BGE 133 III 421 nicht publiziert]). Es ist nicht zu beanstanden, dass die Vorinstanz dem Gutachten der Frau Dr. med. S.________ Beweiskraft beigemessen und für die Feststellung der Arbeitsfähigkeit darauf abgestellt hat.</w:t>
      </w:r>
    </w:p>
    <w:p>
      <w:r>
        <w:rPr>
          <w:b/>
        </w:rPr>
        <w:t>E. 2.5</w:t>
      </w:r>
    </w:p>
    <w:p>
      <w:r>
        <w:t>Dass die Vorinstanz stillschweigend von der Verwertbarkeit der Arbeitsfähigkeit für leidensangepasste Tätigkeiten auf dem allgemeinen ausgeglichenen Arbeitsmarkt (vgl. Art. 16 ATSG ) ausgegangen ist, beruht weder auf einer mangelhaften Feststellung des Sachverhalts noch verstösst es sonst wie gegen Bundesrecht (ZAK 1991 S. 318, I 350/89 E. 3b; Urteile 8C_489/2007 vom 28. Dezember 2007 E. 4.1 und 9C_446/2008 vom 18. September 2008 E. 3.4). Das Finden einer zumutbaren Stelle erscheint nicht zum Vornherein als ausgeschlossen, zumal der ausgeglichene Arbeitsmarkt nebst schweren auch eine Vielzahl leichter Tätigkeiten beinhaltet (vgl. Urteile 8C_773/2009 vom 19. Februar 2010 E. 5.3; 9C_72/2009 vom 30. März 2009 E. 3.4 mit zahlreichen Hinweisen). Insbesondere spricht auch die Tatsache, dass die Versicherte seit Oktober 2005 nur noch teilweise erwerbstätig ist und der dabei erzielte Lohn möglicherweise eine Sozialkomponente enthält, nicht gegen die Verwertbarkeit der verbleibenden Arbeitsfähigkeit. Ausserdem sind an die Konkretisierung von Arbeitsgelegenheiten und Verdienstaussichten praxisgemäss nicht übermässige Anforderungen zu stellen (Urteile 9C_941/2008 vom 18. Februar 2009 E. 3.5; 9C_744/2008 vom 19. November 2008 E. 3.2 und 9C_236/2008 vom 4. August 2008 E. 4.2).</w:t>
      </w:r>
    </w:p>
    <w:p>
      <w:r>
        <w:rPr>
          <w:b/>
        </w:rPr>
        <w:t>E. 2.6</w:t>
      </w:r>
    </w:p>
    <w:p>
      <w:r>
        <w:t>Die Vorinstanz hat darauf verzichtet, einen Einkommensvergleich ( Art. 16 ATSG ) vorzunehmen, was sich indessen letztinstanzlich ergänzen lässt ( Art. 106 Abs. 1 BGG ; E. 1). Aus dem Bericht der Arbeitgeberin vom 12. Dezember 2006 ergibt sich für das Jahr 2006 ein Valideneinkommen von Fr. 52'000.-. Das Invalideneinkommen ist zunächst gestützt auf die Lohnstrukturerhebung des Bundesamtes für Statistik (LSE 2006, Tabelle TA1, Total Frauen, Anforderungsniveau 4; Fr. 4'019.- x 12) und unter Berücksichtigung einer betriebsüblichen Wochenarbeitszeit von 41,7 Stunden auf Fr. 50'278.- festzusetzen. Selbst bei Vornahme eines Abzugs im maximal zulässigen Umfang von 25 % ( BGE 126 V 75 E. 5b/bb-cc S. 80; Urteil 9C_ 368/2009 vom 17. Juli 2009 E. 2.1) resultiert unter den gegebenen Umständen kein rentenbegründender Invaliditätsgrad von mindestens 40 % (vgl. Art. 28 IVG ).</w:t>
      </w:r>
    </w:p>
    <w:p>
      <w:r>
        <w:rPr>
          <w:b/>
        </w:rPr>
        <w:t>E. 3</w:t>
      </w:r>
    </w:p>
    <w:p>
      <w:r>
        <w:t>Dem Ausgang dieses kostenpflichtigen Verfahrens (Art. 65 Abs. 1 und Abs. 4 lit. a BGG)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