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722/2009 vom 21. Dezember 2009</w:t>
      </w:r>
    </w:p>
    <w:p>
      <w:r>
        <w:t>Bundesgericht, 2009-12-21, DE</w:t>
      </w:r>
    </w:p>
    <w:p>
      <w:r>
        <w:rPr>
          <w:b/>
        </w:rPr>
        <w:t xml:space="preserve">Quelle: </w:t>
      </w:r>
      <w:r>
        <w:t>https://mcp.opencaselaw.ch/entscheid/bger_9C_722_2009</w:t>
      </w:r>
    </w:p>
    <w:p>
      <w:r>
        <w:t>FR: TF 9C 722/2009 du 21 décembre 2009</w:t>
      </w:r>
    </w:p>
    <w:p>
      <w:r>
        <w:t>IT: TF 9C 722/2009 del 21 dicembre 2009</w:t>
      </w:r>
    </w:p>
    <w:p>
      <w:pPr>
        <w:pStyle w:val="Heading2"/>
      </w:pPr>
      <w:r>
        <w:t>Regeste</w:t>
      </w:r>
    </w:p>
    <w:p>
      <w:r>
        <w:t>Invalidenversicherung (Invalideneinkommen),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Neue Tatsachen und Beweismittel dürfen nur soweit vorgebracht werden, als erst der Entscheid der Vorinstanz dazu Anlass gibt ( Art. 99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prüft seine Zuständigkeit und die (weiteren) Eintretensvoraussetzungen von Amtes wegen und mit freier Kognition (vgl. BG 135 II 94 E. 1 S. 96; Urteil 8C_264/2009 vom 19. Mai 2009 E. 1; je mit Hinweisen).</w:t>
      </w:r>
    </w:p>
    <w:p>
      <w:r>
        <w:rPr>
          <w:b/>
        </w:rPr>
        <w:t>E. 1.3</w:t>
      </w:r>
    </w:p>
    <w:p>
      <w:r>
        <w:t>Die Beschwerdeführerin rügt die Verletzung von Bundesrecht (vgl. E. 2.3 und 3.2), soweit im angefochtenen Entscheid aufgrund psychischer Leiden eine eingeschränkte Arbeitsfähigkeit angenommen und bei der Bestimmung des Invalideneinkommens ein Abzug vom Tabellenlohn vorgenommen wurde. Dabei handelt es sich um Vorbringen rechtlicher Art, welche nicht vom Novenverbot von Art. 99 Abs. 1 BGG erfasst werden. Zwar ging die IV-Stelle selber im Verwaltungsverfahren von einer (teilweisen) Einschränkung der Arbeitsfähigkeit aus, und auch im kantonalen Beschwerdeverfahren vertrat sie keine andere Auffassung. Dennoch ist es ihr (als beschwerte Partei; vgl. Art. 89 Abs. 1 lit. c BGG ) nicht verwehrt, letztinstanzlich die fehlende Bundesrechtskonformität des Rentenentscheids geltend zu machen, zumal Gegenstand des vorinstanzlichen Verfahrens (vgl. BGE 125 V 413 E. 1 und 2 S. 414 ff.; ULRICH MEYER, in: Basler Kommentar, Bundesgerichtsgesetz, 2008, N. 27 zu Art. 99 BGG ) der Anspruch des Versicherten gegen die IV-Stelle auf eine Rente der Invalidenversicherung - welchen die kantonale Beschwerdeinstanz umfassend zu prüfen hat (vgl. Art. 61 lit. c und d ATSG ; SR 830.1) - bildete, wobei insbesondere der Umfang der Arbeitsfähigkeit umstritten war. Auf die Beschwerde ist daher einzutreten.</w:t>
      </w:r>
    </w:p>
    <w:p>
      <w:r>
        <w:rPr>
          <w:b/>
        </w:rPr>
        <w:t>E. 2.1</w:t>
      </w:r>
    </w:p>
    <w:p>
      <w:r>
        <w:t>Mit Bezug auf die Arbeitsfähigkeit des Beschwerdegegners hat das kantonale Gericht nicht offensichtlich unrichtig (E. 1.1) festgestellt, in orthopädischer Hinsicht sei dieser arbeitsfähig in einer körperlich leichten bis mittelschweren Tätigkeit in wechselnder Position, mit einer Hebe- und Traglimite von 15 kg und ohne länger dauernde Zwangshaltungen von Hals- und Lendenwirbelsäule. Umstritten ist die Frage, ob aus den psychischen Leiden eine sozialversicherungsrechtlich relevante Beeinträchtigung der Arbeitsfähigkeit resultiert. Diesbezüglich hat die Vorinstanz eine Leistungseinschränkung von 20 % in leichten Tätigkeiten angenommen.</w:t>
      </w:r>
    </w:p>
    <w:p>
      <w:r>
        <w:rPr>
          <w:b/>
        </w:rPr>
        <w:t>E. 2.2</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w:t>
      </w:r>
    </w:p>
    <w:p>
      <w:r>
        <w:rPr>
          <w:b/>
        </w:rPr>
        <w:t>E. 2.3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(E. 2.2)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Erw. 5a; AHI 2000 S. 153 Erw. 3), und ob die von den Ärzten anerkannte (Teil-)Arbeitsunfähigkeit auch im Lichte der für eine Unüberwindlichkeit der Schmerzsymptomatik massgebenden rechtlichen Kriterien standhält ( BGE 130 V 352 E. 2.2.5 S. 355 f.).</w:t>
      </w:r>
    </w:p>
    <w:p>
      <w:r>
        <w:rPr>
          <w:b/>
        </w:rPr>
        <w:t>E. 2.4</w:t>
      </w:r>
    </w:p>
    <w:p>
      <w:r>
        <w:t>Die Vorinstanz hat mit Bezug auf die medizinischen Tatsachenfeststellungen das Gutachten des Begutachtungsinstitutes X.________ vom 1. August 2007 zu Recht als beweiskräftig bezeichnet ( BGE 125 V 351 E. 3a S. 352), was auch von den Parteien nicht in Frage gestellt wird. Gestützt darauf und unter Würdigung weiterer medizinischer Unterlagen hat sie festgestellt, dass eine anhaltende somatoforme Schmerzstörung vorliege, während von einer mitwirkenden, psychisch ausgewiesenen Komorbidität von erheblicher Schwere, Intensität, Ausprägung und Dauer nicht gesprochen werden könne. Orthopädisch liessen sich lediglich beginnende degenerative Veränderungen im unteren zervikalen Bereich und eine - die intensiven Nacken- und Kopfschmerzen nicht erklärende - Syringomyelie feststellen, weshalb chronische körperliche Begleiterkrankungen zu verneinen seien. Ebensowenig liege ein mehrjähriger unveränderter Krankheitsverlauf vor. Ein sozialer Rückzug in allen Belangen des Lebens sei nicht ausgewiesen und es sei kein primärer Krankheitsgewinn vorhanden. Das Kriterium unbefriedigender Behandlungsergebnisse trotz konsequent durchgeführter ambulanter und/oder stationärer Behandlungsbemühungen und gescheiterter Rehabilitationsmassnahmen bei vorhandener Motivation und Eigenanstrengung sei erfüllt. Diese Feststellungen sind weder offensichtlich unrichtig noch beruhen sie auf einer Rechtsverletzung, weshalb sie für das Bundesgericht verbindlich sind (E. 1.1). Damit sind die massgeblichen Kriterien (E. 2.2) offensichtlich nicht (genügend) erfüllt, weshalb der vorinstanzlichen Folgerung, insgesamt sei dem Beschwerdegegner ein Wiedereinstieg in den Arbeitsprozess nicht unzumutbar, beizupflichten ist. Unter diesen Umständen bleibt aber in rechtlicher Hinsicht - entgegen der auf dem Gutachten des Begutachtungsinstitutes X.________ beruhenden Auffassung des kantonalen Gerichts - kein Raum für die Annahme einer mit psychischen Leiden begründeten (teilweisen) Einschränkung der Arbeitsfähigkeit.</w:t>
      </w:r>
    </w:p>
    <w:p>
      <w:r>
        <w:rPr>
          <w:b/>
        </w:rPr>
        <w:t>E. 3.1</w:t>
      </w:r>
    </w:p>
    <w:p>
      <w:r>
        <w:t>Für die Bemessung des Invaliditätsgrades setzte die Verwaltung das Valideneinkommen auf Fr. 75'270.- und das Invalideneinkommen, gestützt auf die Tabellenlöhne der Schweizerischen Lohnstrukturerhebung des Bundesamtes für Statistik und - zu Unrecht (E. 2.4) - unter Berücksichtigung einer um 20 % reduzierten Arbeitsfähigkeit, auf Fr. 46'932.- fest. Die Vorinstanz hat diese Beträge übernommen; das Invalideneinkommen hat sie jedoch "aufgrund der zu berücksichtigenden orthopädischen Einschränkungen" um einen Abzug von 10 % reduziert. Die Beschwerdeführerin sieht in Letztem eine Verletzung von Bundesrecht.</w:t>
      </w:r>
    </w:p>
    <w:p>
      <w:r>
        <w:rPr>
          <w:b/>
        </w:rPr>
        <w:t>E. 3.2</w:t>
      </w:r>
    </w:p>
    <w:p>
      <w:r>
        <w:t>Ob (vgl. zur Qualifikation als Rechtsfrage BGE 132 V 393 E. 3.3 S. 399)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126 V 75 E. 5 S. 78 ff.; 129 V 472 E. 4.3.2. S. 481).</w:t>
      </w:r>
    </w:p>
    <w:p>
      <w:r>
        <w:rPr>
          <w:b/>
        </w:rPr>
        <w:t>E. 3.3</w:t>
      </w:r>
    </w:p>
    <w:p>
      <w:r>
        <w:t>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(Urteile 8C_559/2008 vom 15. Dezember 2008 E. 4; 9C_343/2008 vom 21. August 2008 E. 3.2; 8C_765/2007 vom 11. Juli 2008 E. 4.3.2), weil der Tabellenlohn im Anforderungsniveau 4 bereits eine Vielzahl von leichten und mittelschweren Tätigkeiten umfasst (Urteil 9C_72/2009 vom 30. März 2009 E. 3.4).</w:t>
      </w:r>
    </w:p>
    <w:p>
      <w:r>
        <w:rPr>
          <w:b/>
        </w:rPr>
        <w:t>E. 3.4</w:t>
      </w:r>
    </w:p>
    <w:p>
      <w:r>
        <w:t>Dem Beschwerdegegner sind leichte bis mittelschwere, adaptierte Tätigkeiten ohne weitere Einschränkung zumutbar (E. 2.1) und weitere konkrete Umstände, welche für die Vornahme eines Abzuges sprechen, sind nicht ersichtlich und wurden auch nicht geltend gemacht. Letztlich kann jedoch die Frage nach der Zulässigkeit eines Abzuges offen bleiben: Wird das Invalideneinkommen auf Fr. 58'665.- (ohne Einschränkung der Arbeitsfähigkeit, vgl. E. 2.4) oder - unter Berücksichtigung eines Abzuges von 10 % - auf Fr. 52'798.- festgesetzt, ergibt sich bei einem Valideneinkommen von Fr. 75'270.- ein Invaliditätsgrad von 22 oder 30 %, was beides einen Anspruch auf eine Invalidenrente ausschliesst ( Art. 28 IVG ). Die Beschwerde ist begründet.</w:t>
      </w:r>
    </w:p>
    <w:p>
      <w:r>
        <w:rPr>
          <w:b/>
        </w:rPr>
        <w:t>E. 4</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