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9C_720/2020 vom 5. Februar 2021</w:t>
      </w:r>
    </w:p>
    <w:p>
      <w:r>
        <w:t>Bundesgericht, 2021-02-05, DE</w:t>
      </w:r>
    </w:p>
    <w:p>
      <w:r>
        <w:rPr>
          <w:b/>
        </w:rPr>
        <w:t xml:space="preserve">Quelle: </w:t>
      </w:r>
      <w:r>
        <w:t>https://mcp.opencaselaw.ch/entscheid/bger_9C_720_2020</w:t>
      </w:r>
    </w:p>
    <w:p>
      <w:r>
        <w:t>FR: TF 9C_720/2020 du 5 février 2021</w:t>
      </w:r>
    </w:p>
    <w:p>
      <w:r>
        <w:t>IT: TF 9C_720/2020 del 5 febbraio 2021</w:t>
      </w:r>
    </w:p>
    <w:p>
      <w:pPr>
        <w:pStyle w:val="Heading2"/>
      </w:pPr>
      <w:r>
        <w:t>Erwägungen</w:t>
      </w:r>
    </w:p>
    <w:p>
      <w:r>
        <w:rPr>
          <w:b/>
        </w:rPr>
        <w:t>E. 1</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 Im Fall einer strafbaren Handlung ist auf die Verfolgungsverjährung abzustellen (vgl. BGE 138 V 74 E. 5.2 S. 79; Urteil 9C_388/2018 vom 29. Oktober 2018 E. 4); diese erstreckt sich bei Betrug auf 15 Jahre (Art. 146 i.V.m. Art. 97 Abs. 1 lit. b StGB ; Urteil 9C_484/2019 vom 25. September 2019       E. 1.3).</w:t>
      </w:r>
    </w:p>
    <w:p>
      <w:r>
        <w:rPr>
          <w:b/>
        </w:rPr>
        <w:t>E. 2.1</w:t>
      </w:r>
    </w:p>
    <w:p>
      <w:r>
        <w:t>Die Vorinstanz hat die Verwirkungsfristen hinsichtlich der Rückforderung als gewahrt erachtet, aber den zurückgeforderten Betrag an den korrigierten Zeitpunkt der Rentenaufhebung angepasst.</w:t>
      </w:r>
    </w:p>
    <w:p>
      <w:r>
        <w:rPr>
          <w:b/>
        </w:rPr>
        <w:t>E. 2.2</w:t>
      </w:r>
    </w:p>
    <w:p>
      <w:r>
        <w:t>Aus der - hier mit Urteil 9C_90/2020 vom 15. April 2020 rechtskräftig gewordenen - rückwirkenden Rentenaufhebung folgt, dass der seitherige Rentenbezug unrechtmässig war. Dies kann im Prozess betreffend die entsprechende Rückerstattungspflicht nicht erneut in Frage gestellt werden (vgl. zur res iudicata Urteil 2C_723/2013 vom   1. Dezember 2014 E. 2.8.1; BGE 145 III 143 E. 5.1 S. 150; 142 III 210 E. 2.2 S. 212 f.). Sodann ist der "Bezüger" der unrechtmässig gewährten Leistungen rückerstattungspflichtig ( Art. 2 Abs. 1 lit. a ATSV [SR 830.11]). Der Beschwerdeführer macht (e) nicht geltend, dass die Rentenleistungen nicht ihm, sondern einer anderen Person ausgerichtet worden sein sollen. Damit gilt er als rückerstattungspflichtiger "Bezüger" der Leistungen. Wofür diese verwendet wurden, und ob die Zusatzrenten letztlich nicht ihm selbst, sondern seiner Ehefrau und den Kindern "zu Gute kamen", spielt keine Rolle. Schliesslich bleiben der vorinstanzlich festgestellte Umfang der vom Beschwerdeführer unrechtmässig bezogenen Leistungen und damit der Rückforderungsbetrag für das Bundesgericht verbindlich (vgl. Art. 105 Abs. 1 und 2 BGG ).</w:t>
      </w:r>
    </w:p>
    <w:p>
      <w:r>
        <w:rPr>
          <w:b/>
        </w:rPr>
        <w:t>E. 2.3</w:t>
      </w:r>
    </w:p>
    <w:p>
      <w:r>
        <w:t>Die Beschwerde ist offensichtlich unbegründet, weshalb sie im vereinfachten Verfahren nach Art. 109 Abs. 2 lit. a und Abs. 3 BGG mit summarischer Begründung und unter Hinweis auf den kantonalen Gerichtsentscheid erledigt wird.</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