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9C_720/2018 vom 1. Februar 2019</w:t>
      </w:r>
    </w:p>
    <w:p>
      <w:r>
        <w:t>Bundesgericht, 2019-02-01, FR</w:t>
      </w:r>
    </w:p>
    <w:p>
      <w:r>
        <w:rPr>
          <w:b/>
        </w:rPr>
        <w:t xml:space="preserve">Quelle: </w:t>
      </w:r>
      <w:r>
        <w:t>https://mcp.opencaselaw.ch/entscheid/bger_9C_720_2018</w:t>
      </w:r>
    </w:p>
    <w:p>
      <w:r>
        <w:t>FR: TF 9C_720/2018 du 1 février 2019</w:t>
      </w:r>
    </w:p>
    <w:p>
      <w:r>
        <w:t>IT: TF 9C_720/2018 del 1 febbraio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dans le cadre d'une procédure de révision au sens de l' art. 17 LPGA . Il porte particulièrement sur le point de savoir si la situation médicale de la recourante s'est péjorée depuis les décisions de l'office intimé rendues les 12 novembre 2013 et 19 février 2014 (la rente entière accordée à l'assurée à partir du 1er octobre 2011 avait alors été réduite à trois quarts de rente depuis le 1er février 2012) et justifie l'attribution d'une rente entière depuis le 6 septembre 2014.</w:t>
      </w:r>
    </w:p>
    <w:p>
      <w:r>
        <w:t>Les premiers juges ont cité les normes et la jurisprudence nécessaires à la résolution du cas, singulièrement celles concernant la révision des prestations durables ( art. 17 al. 1 LPGA ; cf. également ATF 133 V 108 consid. 5 p. 110 ss) ou la valeur probante des rapports médicaux ( ATF 125 V 351 consid. 3 p. 352 ss; voir également ATF 134 V 231 consid. 5.1 p. 232 s.), dont ceux établis par le SMR (cf. art. 59 al. 2bis LAI ; arrêt 9C_542/2011 du 26 janvier 2012 consid. 4.1 et les références). Il suffit d'y renvoyer.</w:t>
      </w:r>
    </w:p>
    <w:p>
      <w:r>
        <w:rPr>
          <w:b/>
        </w:rPr>
        <w:t>E. 3</w:t>
      </w:r>
    </w:p>
    <w:p>
      <w:r>
        <w:t>La juridiction cantonale a confirmé la décision administrative contestée. Elle s'est fondée sur les deux avis de la doctoresse F.________ des 19 août et 10 novembre 2016, auxquels elle a reconnu une pleine valeur probante même si, compte tenu de son rôle, celle-ci n'avait pas examiné personnellement la recourante et n'était spécialisée ni en rhumatologie ni en psychiatrie. Sur le plan somatique, d'abord, elle a relevé que la situation de l'assurée ne s'était pas significativement modifiée, dans la mesure où les pathologies diagnostiquées par les docteurs J.________ et H.________ étaient connues (la poussée de la polyarthrite rhumatoïde étant momentanée), où la doctoresse J.________ avait expressément confirmé la persistance de la capacité de travail de 50 % dans une activité adaptée et où le docteur H.________ avait tenu compte de facteurs non médicaux. Sur le plan psychiatrique, ensuite, elle a constaté que l'épisode dépressif, décrit comme moyen à sévère au moment des décisions initiales, n'était plus que modéré, que la doctoresse I.________ esquissait essentiellement le même tableau clinique qu'antérieurement et que son évaluation de la capacité résiduelle de travail n'était qu'une appréciation différente d'une situation inchangée. Elle a en outre nié la nécessité d'ordonner une expertise bidisciplinaire.</w:t>
      </w:r>
    </w:p>
    <w:p>
      <w:r>
        <w:rPr>
          <w:b/>
        </w:rPr>
        <w:t>E. 4.1</w:t>
      </w:r>
    </w:p>
    <w:p>
      <w:r>
        <w:t>En premier lieu, la recourante fait grief au tribunal cantonal d'avoir violé son obligation d'instruction. Elle soutient qu'il ne pouvait nier la nécessité de réaliser une expertise bidisciplinaire, en se fondant sur la seule appréciation de la doctoresse F.________ tandis que ses médecins traitants, spécialistes respectivement en rhumatologie et en psychiatrie, avaient abouti à des conclusions divergentes et jetaient des doutes sérieux sur sa valeur probante.</w:t>
      </w:r>
    </w:p>
    <w:p>
      <w:r>
        <w:rPr>
          <w:b/>
        </w:rPr>
        <w:t>E. 4.2</w:t>
      </w:r>
    </w:p>
    <w:p>
      <w:r>
        <w:t>Cette argumentation n'est pas fondée. Selon la jurisprudence, une expertise devrait certes être ordonnée si subsistent des doutes, même faibles, quant à la fiabilité ou la pertinence de constatations effectuées par le SMR (à cet égard, voir ATF 142 V 58 consid. 5.1 p. 64 s.; 135 V 465 consid. 4.4 p. 470). Ces doutes ne sauraient toutefois découler de la seule existence de rapports médicaux contradictoires, contrairement à ce que laisse entendre l'assurée. Ils doivent au contraire ressortir de l'appréciation des preuves. Or, tel n'est pas le cas en l'occurrence. Les premiers juges ont effectivement clairement considéré en se référant à l'appréciation du médecin du SMR que la situation de la recourante ne s'était pas modifiée de manière significative. Aucun doute ne subsistait à ce propos. On ne peut donc reprocher à l'autorité précédente d'avoir violé son devoir d'instruction en n'ordonnant pas une expertise.</w:t>
      </w:r>
    </w:p>
    <w:p>
      <w:r>
        <w:rPr>
          <w:b/>
        </w:rPr>
        <w:t>E. 5.1</w:t>
      </w:r>
    </w:p>
    <w:p>
      <w:r>
        <w:t>La recourante fait encore grief au tribunal cantonal d'avoir procédé à une appréciation arbitraire des preuves, en lien avec ses pathologies somatiques. Elle conteste l'absence de changements notables dans sa situation médicale. Elle allègue que les docteurs B.________, H.________ et J.________ avaient établi une intensification des douleurs, une activation de la polyarthrite, un caractère désormais chronique des lombalgies ainsi que l'apparition de nouvelles affections (syndrome du tunnel carpien; bursite trochantérienne) déterminant une nouvelle limitation (impossibilité de porter des charges, même légères). Elle infère de ces éléments la nécessité de réaliser l'expertise requise.</w:t>
      </w:r>
    </w:p>
    <w:p>
      <w:r>
        <w:rPr>
          <w:b/>
        </w:rPr>
        <w:t>E. 5.2</w:t>
      </w:r>
    </w:p>
    <w:p>
      <w:r>
        <w:t>Ce grief est mal fondé. L'assurée évoque certes des modifications de son état de santé. Celles-ci n'ont toutefois pas été ignorées par les premiers juges mais seulement écartées en tant qu'elles ne revêtaient pas l'importance exigée par l' art. 17 LPGA . Ainsi, la juridiction cantonale a pris en considération la poussée active de la polyarthrite (et l'accentuation de la symptomatologie douloureuse y afférente) mais ne l'a pas jugée significative dans la mesure où l'incapacité de travail en découlant n'était que temporaire. Il en va de même du caractère désormais chronique des lombalgies, de l'existence d'un syndrome du tunnel carpien ou de l'aptitude à porter des charges dès lors que ces éléments avaient déjà été pris en compte auparavant ou n'exerçaient pas davantage d'influence sur la capacité de travail de la recourante, dont le taux - inchangé (50 %) - avait été confirmé par la doctoresse J.________. Les allégations de l'assurée ne constituent en outre pas une critique de l'acte attaqué mais juste une appréciation personnelle des faits. Elles ne suffisent pas pour établir que l'appréciation du tribunal cantonal serait arbitraire (sur cette notion, ATF 137 I 1 consid. 2.4 p. 5; 136 III 552 consid. 4.2 p. 560 et les références).</w:t>
      </w:r>
    </w:p>
    <w:p>
      <w:r>
        <w:rPr>
          <w:b/>
        </w:rPr>
        <w:t>E. 6.1</w:t>
      </w:r>
    </w:p>
    <w:p>
      <w:r>
        <w:t>La recourante fait enfin grief aux premiers juges d'avoir fait montre d'arbitraire en appréciant les preuves qui décrivaient son état de santé psychique. Elle conteste l'absence de péjoration sur ce plan. En substance, elle relève que les docteurs B.________ et I.________ avaient associé cette péjoration à l'instauration d'un suivi psychothérapeutique, à une décompensation survenue après ses licenciements ou au risque d'aggravation qu'aurait représenté la reprise d'une activité lucrative.</w:t>
      </w:r>
    </w:p>
    <w:p>
      <w:r>
        <w:rPr>
          <w:b/>
        </w:rPr>
        <w:t>E. 6.2</w:t>
      </w:r>
    </w:p>
    <w:p>
      <w:r>
        <w:t>Cet argument est mal fondé. Une fois encore, l'assurée ne critique pas directement l'acte attaqué mais livre sa propre interprétation des rapports médicaux disponibles en se focalisant seulement sur certains éléments qui paraissent aller dans le sens de la thèse qu'elle soutient. Ce faisant, elle ne démontre nullement en quoi la juridiction cantonale aurait fait preuve d'arbitraire en déduisant des rapports successifs de la doctoresse I.________ l'absence de péjoration de la situation du point de vue psychique (voire même d'une amélioration dans la mesure où l'épisode du trouble dépressif récurrent était actuellement qualifié par ce praticien de modéré alors qu'il était auparavant moyen à sévère), la similitude des tableaux cliniques aux deux moments déterminants dans le cadre d'une révision du droit aux prestations, ainsi que l'absence de tout nouvel élément objectif (hormis la décompensation évoquée) dans son histoire psychiatrique. Le tribunal cantonal a en outre considéré à raison que l'avis du psychiatre traitant sur la capacité de travail de sa patiente ne constituait qu'une nouvelle appréciation d'une situation restée identique.</w:t>
      </w:r>
    </w:p>
    <w:p>
      <w:r>
        <w:rPr>
          <w:b/>
        </w:rPr>
        <w:t>E. 7</w:t>
      </w:r>
    </w:p>
    <w:p>
      <w:r>
        <w:t>Le recours est donc entièrement mal fondé.</w:t>
      </w:r>
    </w:p>
    <w:p>
      <w:r>
        <w:rPr>
          <w:b/>
        </w:rPr>
        <w:t>E. 8</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